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7D" w:rsidRDefault="001E447D" w:rsidP="001E447D">
      <w:pPr>
        <w:pStyle w:val="a3"/>
        <w:spacing w:before="0" w:beforeAutospacing="0" w:after="240" w:afterAutospacing="0"/>
        <w:ind w:firstLine="480"/>
        <w:jc w:val="center"/>
        <w:rPr>
          <w:rFonts w:ascii="Microsoft YaHei" w:eastAsia="Microsoft YaHei" w:hAnsi="Microsoft YaHei"/>
          <w:color w:val="333333"/>
        </w:rPr>
      </w:pPr>
      <w:bookmarkStart w:id="0" w:name="_GoBack"/>
      <w:bookmarkEnd w:id="0"/>
      <w:r>
        <w:rPr>
          <w:rStyle w:val="a4"/>
          <w:rFonts w:ascii="Microsoft YaHei" w:eastAsia="Microsoft YaHei" w:hAnsi="Microsoft YaHei" w:hint="eastAsia"/>
          <w:color w:val="333333"/>
        </w:rPr>
        <w:t>《财务与会计》考试大纲</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本科目考试内容涉及的政策法规以2017年度及以往的为主，加2018年4月30日前的必要会计税收政策调整。</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本次大纲主要调整了下列内容：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1.考虑到企业破产清算会计核算内容较为简单，不再单列一章，而将相关内容分别在第八章和第十九章中进行阐述。</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2. 第十一章增加了第七节“持有待售的非流动资产、处置组和终止经营”，重点对第42号会计准则的概念、适用范围、分类、计量和列报进行阐述。</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3.根据财政部对第22、23、24及第37号会计准则的修订内容，对第十二章“非流动资产（二）中相关内容进行了修订。</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4．根据财政部对第14号准则的修订，相应修订了第十六</w:t>
      </w:r>
      <w:proofErr w:type="gramStart"/>
      <w:r>
        <w:rPr>
          <w:rFonts w:ascii="Microsoft YaHei" w:eastAsia="Microsoft YaHei" w:hAnsi="Microsoft YaHei" w:hint="eastAsia"/>
          <w:color w:val="333333"/>
        </w:rPr>
        <w:t>章收入</w:t>
      </w:r>
      <w:proofErr w:type="gramEnd"/>
      <w:r>
        <w:rPr>
          <w:rFonts w:ascii="Microsoft YaHei" w:eastAsia="Microsoft YaHei" w:hAnsi="Microsoft YaHei" w:hint="eastAsia"/>
          <w:color w:val="333333"/>
        </w:rPr>
        <w:t>的内容。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 5. 根据财政部对第16号准则的修订，相应修订并充实了第十六章政府补助的内容。</w:t>
      </w:r>
    </w:p>
    <w:p w:rsidR="001E447D" w:rsidRDefault="001E447D" w:rsidP="001E447D">
      <w:pPr>
        <w:pStyle w:val="a3"/>
        <w:spacing w:before="0" w:beforeAutospacing="0" w:after="240" w:afterAutospacing="0"/>
        <w:ind w:firstLine="480"/>
        <w:jc w:val="center"/>
        <w:rPr>
          <w:rFonts w:ascii="Microsoft YaHei" w:eastAsia="Microsoft YaHei" w:hAnsi="Microsoft YaHei" w:hint="eastAsia"/>
          <w:color w:val="333333"/>
        </w:rPr>
      </w:pPr>
      <w:r>
        <w:rPr>
          <w:rStyle w:val="a4"/>
          <w:rFonts w:ascii="Microsoft YaHei" w:eastAsia="Microsoft YaHei" w:hAnsi="Microsoft YaHei" w:hint="eastAsia"/>
          <w:color w:val="333333"/>
        </w:rPr>
        <w:t>上篇财务</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第一章 财务管理概论</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一、财务管理的概念与内容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熟悉财务管理的内容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二、财务管理目标</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（一）熟悉财务管理目标理论</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（二）了解利益相关者的要求</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三、财务管理的环境</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（一）了解法律环境</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（二）了解经济环境</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（三）了解金融环境</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第二章 财务管理基础</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一、货币时间价值</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掌握终值和现值的计算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二、风险与收益</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（一）掌握资产的收益与收益率的含义与计算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（二）掌握资产的风险及其衡量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（三）熟悉证券资产组合的风险与收益</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（四）掌握资本资产定价模型</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（五）了解财务估值方法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lastRenderedPageBreak/>
        <w:t>第三章 财务预测和财务预算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一、资金需要量预测</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（一）了解资金需要量预测的意义</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（二）掌握资金需要量预测的方法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二、掌握利润预测常用的指标及计算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三、财务预算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（一）熟悉全面预算的内容和作用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（二）了解财务预算的内容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（三）熟悉财务预算的编制方法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第四章 筹资与股利分配管理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一、筹资管理概述</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（一）了解企业筹资的动机</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（二）了解筹资管理的内容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（三）熟悉筹资的分类</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（四）了解筹资管理的原则</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二、筹资方式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（一）熟悉各种筹资方式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（二）掌握各种筹资方式的优缺点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三、资本成本与资本结构</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（一）了解资本成本的作用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（二）掌握各种资本成本的计算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（三）掌握杠杆效应的计算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（四）掌握最优资本结构决策方法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四、股利分配</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（一）熟悉各种股利分配政策</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（二）了解股利政策的理论分析</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（三）熟悉股利分配形式与程序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（四）熟悉股票股利、股票分割与股票回购</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第五章 投资管理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一、投资管理的主要内容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（一）了解企业投资管理的意义与特点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（二）了解企业投资的分类</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二、掌握固定资产投资决策方法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（一）掌握固定资产投资项目现金流量的估计</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（二）掌握固定资产投资决策的各种方法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（三）熟悉固定资产投资决策的特殊应用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三、固定资产投资决策方法的综合运用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（一）熟悉独立投资方案的决策</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（二）熟悉互斥投资方案的决策</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（三）掌握固定资产更新决策</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四、有价证券投资管理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（一）了解债券投资的优缺点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（二）掌握债券估价基本模型</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（三）了解股票投资的优缺点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（四）掌握股票估价基本模型</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五、公司并购与收缩</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（一）了解公司并购的动因</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（二）熟悉被并购企业的价值评估</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（三）了解并购支付的方式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（四）了解公司收缩的含义</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（五）熟悉公司收缩的主要方式及效用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第六章 营运资金管理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一、营运资金管理的主要内容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（一）掌握营运资金的管理策略</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二、现金管理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（一）熟悉持有现金的动机</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（二）掌握目标现金余额的确定</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（三）熟悉现金收支日常管理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三、应收账款管理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（一）了解应收账款的管理目标</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（二）掌握应收账款成本的计算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（三）掌握信用政策</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四、存货管理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（一）了解存货管理的目标</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（二）掌握存货成本的计算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（三）掌握最优存货量的确定</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五、流动负债管理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（一）熟悉短期借款的信用条件与成本计算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（二）熟悉商业信用的形式与成本计算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第七章 财务分析与评价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一、财务分析概述</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（一）了解财务分析的意义和内容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（二）熟悉财务分析的基本方法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二、基本财务分析</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（一）掌握偿债能力分析的各项指标计算及其意义</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（二）掌握营运能力分析的各项指标计算及其意义</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（三）掌握盈利能力分析的各项指标计算及其意义</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（四）掌握发展能力分析的各项指标计算及其意义</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（五）掌握现金流量分析的各项指标计算及其意义</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（六）掌握上市公司特殊财务分析指标的计算及其意义</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三、综合分析与评价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（一）掌握杜邦分析法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（二）熟悉综合绩效评价的内容与指标</w:t>
      </w:r>
    </w:p>
    <w:p w:rsidR="001E447D" w:rsidRDefault="001E447D" w:rsidP="001E447D">
      <w:pPr>
        <w:pStyle w:val="a3"/>
        <w:spacing w:before="0" w:beforeAutospacing="0" w:after="240" w:afterAutospacing="0"/>
        <w:ind w:firstLine="480"/>
        <w:jc w:val="center"/>
        <w:rPr>
          <w:rFonts w:ascii="Microsoft YaHei" w:eastAsia="Microsoft YaHei" w:hAnsi="Microsoft YaHei" w:hint="eastAsia"/>
          <w:color w:val="333333"/>
        </w:rPr>
      </w:pPr>
      <w:r>
        <w:rPr>
          <w:rStyle w:val="a4"/>
          <w:rFonts w:ascii="Microsoft YaHei" w:eastAsia="Microsoft YaHei" w:hAnsi="Microsoft YaHei" w:hint="eastAsia"/>
          <w:color w:val="333333"/>
        </w:rPr>
        <w:t>下篇 会计</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第八章 财务会计概论</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一、财务会计目标、会计基本假设和会计基础</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（一）了解财务会计目标</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（二）掌握会计基本假设</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（三）了解会计基础</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二、财务会计要素及其确认、计量和报告</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（一）熟悉财务会计要素及其确认</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（二）掌握财务会计的计量属性</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（三）了解财务报告</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三、企业破产清算会计核算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（一）了解破产清算业务</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（二）熟悉破产清算的适用范围</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（三）熟悉企业破产清算的编制基础</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（四）掌握企业破产清算的计量属性</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（五）熟悉企业破产清算的科目设置及核算内容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四、我国企业财务会计核算规范及其信息质量要求</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（一）了解我国企业财务会计核算规范</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（二）熟悉财务会计信息质量要求</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第九章 流动资产（一）</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一、货币资金的核算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（一）了解现金的核算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（二）熟悉银行存款的核算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（三）掌握其他货币资金的核算内容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二、应收款项的核算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（一）熟悉应收票据的种类及其核算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（二）掌握应收票据贴现的计算及其账务处理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（三）掌握应收账款的范围、计价及其账务处理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（四）了解预付账款、应收股利和应收利息、其他应收款的内容及其账务处理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（五）掌握应收款项减值的判断、确定及其账务处理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三、以公允价值计量且其变动计入当期损益的金融资产的核算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（一）了解金融资产及其分类</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（二）熟悉以公允价值计量且其变动计入当期损益的金融资产的特征</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（三）掌握以公允价值计量且其变动计入当期损益的金融资产的确认、计量及其账务处理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四、外币业务的核算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（一）了解外币业务的内容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（二）掌握外币业务的会计处理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第十章 流动资产（二）</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一、存货的确认和计量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（一）熟悉存货的种类及其确认条件</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（二）掌握存货的初始及后续计量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（三）掌握存货的期末计量及其账务处理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二、原材料</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（一）了解原材料的核算内容及其方法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（二）掌握按实际成本计价的原材料核算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（三）掌握按计划成本计价的原材料核算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三、其他存货的核算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（一）掌握委托加工物资的核算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（二）熟悉周转材料的核算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（三）掌握库存商品的核算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（四）了解发出商品的核算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四、存货清查的核算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（一）了解存货数量的确定方法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（二）熟悉存货清查的账务处理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第十一章 非流动资产（一）</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一、固定资产的确认和计量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（一）熟悉固定资产的确认方法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（二）掌握固定资产的计量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二、固定资产取得时的核算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（一）熟悉固定资产取得的主要来源</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（二）掌握不同来源取得时固定资产的计量及其账务处理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三、固定资产折旧的核算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（一）了解固定资产折旧的性质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（二）熟悉影响固定资产折旧的基本因素</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（三）掌握固定资产折旧的范围、方法及其账务处理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四、固定资产后续支出、处置的核算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（一）熟悉固定资产后续支出的含义及其内容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（二）掌握固定资产处置的方式及其会计处理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五、无形资产的核算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（一）熟悉无形资产内容、特征</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（二）掌握无形资产的确认与计量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（三）掌握无形资产取得、摊销、处置和报废的核算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六、固定资产、无形资产等资产减值的核算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（一）了解固定资产、无形资产等资产发生减值的判断</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（二）熟悉资产可收回金额的计量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（三）掌握资产减值损失的账务处理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七、持有待售的非流动资产、</w:t>
      </w:r>
      <w:proofErr w:type="gramStart"/>
      <w:r>
        <w:rPr>
          <w:rFonts w:ascii="Microsoft YaHei" w:eastAsia="Microsoft YaHei" w:hAnsi="Microsoft YaHei" w:hint="eastAsia"/>
          <w:color w:val="333333"/>
        </w:rPr>
        <w:t>处置组</w:t>
      </w:r>
      <w:proofErr w:type="gramEnd"/>
      <w:r>
        <w:rPr>
          <w:rFonts w:ascii="Microsoft YaHei" w:eastAsia="Microsoft YaHei" w:hAnsi="Microsoft YaHei" w:hint="eastAsia"/>
          <w:color w:val="333333"/>
        </w:rPr>
        <w:t>和终止经营</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w:t>
      </w:r>
      <w:proofErr w:type="gramStart"/>
      <w:r>
        <w:rPr>
          <w:rFonts w:ascii="Microsoft YaHei" w:eastAsia="Microsoft YaHei" w:hAnsi="Microsoft YaHei" w:hint="eastAsia"/>
          <w:color w:val="333333"/>
        </w:rPr>
        <w:t>了解非</w:t>
      </w:r>
      <w:proofErr w:type="gramEnd"/>
      <w:r>
        <w:rPr>
          <w:rFonts w:ascii="Microsoft YaHei" w:eastAsia="Microsoft YaHei" w:hAnsi="Microsoft YaHei" w:hint="eastAsia"/>
          <w:color w:val="333333"/>
        </w:rPr>
        <w:t>流动资产、</w:t>
      </w:r>
      <w:proofErr w:type="gramStart"/>
      <w:r>
        <w:rPr>
          <w:rFonts w:ascii="Microsoft YaHei" w:eastAsia="Microsoft YaHei" w:hAnsi="Microsoft YaHei" w:hint="eastAsia"/>
          <w:color w:val="333333"/>
        </w:rPr>
        <w:t>处置组</w:t>
      </w:r>
      <w:proofErr w:type="gramEnd"/>
      <w:r>
        <w:rPr>
          <w:rFonts w:ascii="Microsoft YaHei" w:eastAsia="Microsoft YaHei" w:hAnsi="Microsoft YaHei" w:hint="eastAsia"/>
          <w:color w:val="333333"/>
        </w:rPr>
        <w:t>概念及适用范围</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（二）熟悉持有待售的非流动资产或</w:t>
      </w:r>
      <w:proofErr w:type="gramStart"/>
      <w:r>
        <w:rPr>
          <w:rFonts w:ascii="Microsoft YaHei" w:eastAsia="Microsoft YaHei" w:hAnsi="Microsoft YaHei" w:hint="eastAsia"/>
          <w:color w:val="333333"/>
        </w:rPr>
        <w:t>处置组</w:t>
      </w:r>
      <w:proofErr w:type="gramEnd"/>
      <w:r>
        <w:rPr>
          <w:rFonts w:ascii="Microsoft YaHei" w:eastAsia="Microsoft YaHei" w:hAnsi="Microsoft YaHei" w:hint="eastAsia"/>
          <w:color w:val="333333"/>
        </w:rPr>
        <w:t>的分类</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（三）掌握持有待售的非流动资产或</w:t>
      </w:r>
      <w:proofErr w:type="gramStart"/>
      <w:r>
        <w:rPr>
          <w:rFonts w:ascii="Microsoft YaHei" w:eastAsia="Microsoft YaHei" w:hAnsi="Microsoft YaHei" w:hint="eastAsia"/>
          <w:color w:val="333333"/>
        </w:rPr>
        <w:t>处置组</w:t>
      </w:r>
      <w:proofErr w:type="gramEnd"/>
      <w:r>
        <w:rPr>
          <w:rFonts w:ascii="Microsoft YaHei" w:eastAsia="Microsoft YaHei" w:hAnsi="Microsoft YaHei" w:hint="eastAsia"/>
          <w:color w:val="333333"/>
        </w:rPr>
        <w:t>的计量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（四）熟悉持有待售的非流动资产或处置组、终止经营的列报</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第十二章 非流动资产（二）</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一、持有至到期投资的核算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（一）熟悉持有至到期投资的特征</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（二）掌握持有至到期投资的计量以及账务处理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二、可供出售金融资产的核算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（一）熟悉可供出售金融资产确认方法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（二）掌握可供出售金融资产的计量以及账务处理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三、长期股权投资的核算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（一）掌握长期股权投资取得的核算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（二）掌握长期股权投资核算的成本法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（三）掌握长期股权投资核算的权益法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（四）掌握长期股权投资核算方法转换的账务处理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（五）掌握长期股权投资处置和减值的账务处理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四、企业合并与合营安排</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（一）了解企业合并的方式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（二）熟悉企业合并的处理原则</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（三）掌握吸收合并的账务处理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（四）熟悉合营安排的认定、分类、重新评估</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（五）掌握共同经营参与方与合营企业参与方的账务处理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五、投资性房地产的核算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（一）了解投资性房地产的范围</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（二）熟悉投资性房地产的确认和计量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（三）了解投资性房地产的转换与处置</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（四）掌握投资性房地产业</w:t>
      </w:r>
      <w:proofErr w:type="gramStart"/>
      <w:r>
        <w:rPr>
          <w:rFonts w:ascii="Microsoft YaHei" w:eastAsia="Microsoft YaHei" w:hAnsi="Microsoft YaHei" w:hint="eastAsia"/>
          <w:color w:val="333333"/>
        </w:rPr>
        <w:t>务</w:t>
      </w:r>
      <w:proofErr w:type="gramEnd"/>
      <w:r>
        <w:rPr>
          <w:rFonts w:ascii="Microsoft YaHei" w:eastAsia="Microsoft YaHei" w:hAnsi="Microsoft YaHei" w:hint="eastAsia"/>
          <w:color w:val="333333"/>
        </w:rPr>
        <w:t>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六、商品期货套期业务的核算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（一）了解商品期货套期业务及应用条件</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（二）熟悉商品期货套期业务的会计处理原则、科目设置</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（三）掌握商品期货套期业务的主要账</w:t>
      </w:r>
      <w:proofErr w:type="gramStart"/>
      <w:r>
        <w:rPr>
          <w:rFonts w:ascii="Microsoft YaHei" w:eastAsia="Microsoft YaHei" w:hAnsi="Microsoft YaHei" w:hint="eastAsia"/>
          <w:color w:val="333333"/>
        </w:rPr>
        <w:t>务</w:t>
      </w:r>
      <w:proofErr w:type="gramEnd"/>
      <w:r>
        <w:rPr>
          <w:rFonts w:ascii="Microsoft YaHei" w:eastAsia="Microsoft YaHei" w:hAnsi="Microsoft YaHei" w:hint="eastAsia"/>
          <w:color w:val="333333"/>
        </w:rPr>
        <w:t>处理及列示和披露</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七、长期应收款和长期待摊费用的核算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（一）熟悉长期应收款的核算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（二）熟悉长期待摊费用的范围及其账务处理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第十三章 流动负债</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一、应付账款和应付票据的核算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（一）熟悉应付账款确认和计量的一般规定</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（二）掌握应付账款的账务处理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（三）掌握应付票据的账务处理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二、应交税费的核算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（一）掌握增值税的账务处理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（二）掌握消费税的账务处理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（三）掌握其他税费的账务处理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三、应付职工薪酬的核算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（一）熟悉应付职工薪酬的内容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（二）掌握应付职工薪酬的确认和计量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（三）掌握应付职工薪酬的账务处理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（四）掌握以现金结算的股份支付形成的应付职工薪酬的账务处理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四、其他流动负债的核算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（一）熟悉短期借款、预收账款、受托代销商品款的账务处理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（二）掌握以公允价值计量其变动计入当期损益的金融负债的账务处理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（三）掌握应付利息、应付股利和其他应付款的账务处理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第十四章 非流动负债</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一、借款费用的核算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（一）了解借款费用的内容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（二）熟悉借款费用确认和计量的一般规定</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（三）掌握借款费用资本</w:t>
      </w:r>
      <w:proofErr w:type="gramStart"/>
      <w:r>
        <w:rPr>
          <w:rFonts w:ascii="Microsoft YaHei" w:eastAsia="Microsoft YaHei" w:hAnsi="Microsoft YaHei" w:hint="eastAsia"/>
          <w:color w:val="333333"/>
        </w:rPr>
        <w:t>化金额</w:t>
      </w:r>
      <w:proofErr w:type="gramEnd"/>
      <w:r>
        <w:rPr>
          <w:rFonts w:ascii="Microsoft YaHei" w:eastAsia="Microsoft YaHei" w:hAnsi="Microsoft YaHei" w:hint="eastAsia"/>
          <w:color w:val="333333"/>
        </w:rPr>
        <w:t>的具体计算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（四）掌握借款费用的账务处理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二、应付债券的核算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（一）了解应付债券的种类</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（二）掌握应付债券发行、利息费用和偿还的账务处理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（三）掌握应付可转换公司债</w:t>
      </w:r>
      <w:proofErr w:type="gramStart"/>
      <w:r>
        <w:rPr>
          <w:rFonts w:ascii="Microsoft YaHei" w:eastAsia="Microsoft YaHei" w:hAnsi="Microsoft YaHei" w:hint="eastAsia"/>
          <w:color w:val="333333"/>
        </w:rPr>
        <w:t>券</w:t>
      </w:r>
      <w:proofErr w:type="gramEnd"/>
      <w:r>
        <w:rPr>
          <w:rFonts w:ascii="Microsoft YaHei" w:eastAsia="Microsoft YaHei" w:hAnsi="Microsoft YaHei" w:hint="eastAsia"/>
          <w:color w:val="333333"/>
        </w:rPr>
        <w:t>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三、其他长期负债的核算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（一）掌握长期借款的账务处理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（二）掌握具有融资性质的延期付款购买资产、应付融资租赁款的账务处理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（三）了解专项应付款的核算内容及账务处理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四、预计负债的核算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（一）熟悉预计负债的确认和计量的一般规定</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（二）掌握预计负债的账务处理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五、债务重组的核算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（一）熟悉债务重组的方式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（二）掌握不同债务重组方式下债务人和债权人各自的账务处理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第十五章 所有者权益</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一、所有者权益核算的基本要求</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（一）熟悉金融负债和权益工具的区分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（二）了解复合金融工具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（三）了解所有者权益的分类</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二、实收资本和其他权益工具的核算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（一）熟悉投资者投入资本的形式及计价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（二）掌握有限责任公司实收资本、股份有限公司股本的账务处理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（三）掌握企业增资和减资的账务处理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（四）掌握库存股及其账务处理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（五）熟悉其他权益工具的账务处理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三、资本公积和其他综合收益的核算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（一）熟悉资本公积的内容及其用途</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（二）掌握资本公积的账务处理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（三）掌握其他综合收益的内容及其账务处理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四、留存收益的核算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（一）了解留存收益的内容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（二）熟悉盈余公积的组成内容及其用途</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（三）掌握盈余公积的账务处理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w:t>
      </w:r>
      <w:proofErr w:type="gramStart"/>
      <w:r>
        <w:rPr>
          <w:rFonts w:ascii="Microsoft YaHei" w:eastAsia="Microsoft YaHei" w:hAnsi="Microsoft YaHei" w:hint="eastAsia"/>
          <w:color w:val="333333"/>
        </w:rPr>
        <w:t>熟悉未</w:t>
      </w:r>
      <w:proofErr w:type="gramEnd"/>
      <w:r>
        <w:rPr>
          <w:rFonts w:ascii="Microsoft YaHei" w:eastAsia="Microsoft YaHei" w:hAnsi="Microsoft YaHei" w:hint="eastAsia"/>
          <w:color w:val="333333"/>
        </w:rPr>
        <w:t>分配利润及其账务处理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第十六章 收入、费用、利润和产品成本</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一、收入和费用概述</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（一）了解收入的范围</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（二）了解费用的范围</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二、收入的确认与计量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（一）掌握销售商品收入的确认与计量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（二）熟悉提供劳务收入的确认与计量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（三）熟悉让渡资产使用权收入的确认与计量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（四）熟悉租赁收入的确认与计量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三、收入的核算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（一）掌握主营业务收入和主营业务成本的核算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（二）熟悉其他业务收入和其他业务支出的核算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四、期间费用的核算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（一）掌握管理费用的核算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（二）掌握销售费用的核算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（三）掌握财务费用的核算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五、利润的核算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（一）了解利润总额的计算公式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（二）掌握资产减值损失、公允价值变动损益、投资收益、营业外收入、营业外支出的核算内容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（三）掌握政府补助的核算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（四）掌握利润总额的核算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（五）掌握利润分配的核算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六、产品成本核算的一般程序及基本方法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（一）了解产品成本的核算内容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（二）熟悉产品成本核算的一般程序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（三）掌握生产费用在完工产品和在产品之间的归集和分配方法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（四）熟悉产品成本计算的基本方法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第十七章 所得税</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一、所得税会计概述</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（一）了解资产负债表债务法的理论基础</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（二）熟悉所得税会计的一般程序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二、资产、负债的计税基础及暂时性差异</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（一）掌握资产的计税基础</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（二）掌握负债的计税基础</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（三）掌握各类别的暂时性差异</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三、递延所得税资产及递延所得税负债的确认</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（一）掌握递延所得税资产的确认</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（二）掌握递延所得税负债的确认</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（三）掌握特殊交易或事项中所涉及递延所得税的确认</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四、所得税费用的确认和计量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（一）熟悉当期所得税、递延所得税及所得税费用的计算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（二）了解所得税的列报</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第十八章 会计调整</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一、会计政策变更</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掌握会计政策变更的会计处理方法及其运用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二、会计估计变更</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掌握会计估计变更的会计处理方法及其运用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三、前期差错更正</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掌握前期差错更正的会计处理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四、资产负债表日后事项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（一）熟悉资产负债表日后事项的类型</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（二）掌握资产负债表日后事项的会计处理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第十九章 财务报告</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一、资产负债表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（一）了解资产负债表的格式和内容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（二）熟悉资产负债表的编制方法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二、利润表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（一）了解利润表的格式和内容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（二）熟悉利润表的编制方法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三、现金流量表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（一）了解现金流量表的作用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（二）熟悉现金流量表的编制基础</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（三）了解现金流量的分类</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（四）了解现金流量表的基本格式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（五）熟悉现金流量表及补充资料的编制方法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w:t>
      </w:r>
      <w:hyperlink r:id="rId5" w:tgtFrame="_blank" w:tooltip="所有者权益变动表" w:history="1">
        <w:r>
          <w:rPr>
            <w:rStyle w:val="a5"/>
            <w:rFonts w:ascii="Microsoft YaHei" w:eastAsia="Microsoft YaHei" w:hAnsi="Microsoft YaHei" w:hint="eastAsia"/>
            <w:color w:val="0070C3"/>
            <w:u w:val="none"/>
          </w:rPr>
          <w:t>所有者权益变动表</w:t>
        </w:r>
      </w:hyperlink>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（一）了解所有者权益变动表的格式和内容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（二）了解所有者权益变动表的编制方法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五、财务报表附注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（一）了解财务报表附注的作用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（二）熟悉财务报表附注应披露的主要内容</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六、企业破产清算财务报表的列报</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（一）了解企业破产清算财务报表的组成</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（二）熟悉清算资产负债表、清算损益表、清算现金流量表、债务清偿表及清算财务报表附注的格式、内容及编制方法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第二十章 合并财务报表</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一、合并财务报表概述</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（一）了解合并财务报表的特点及编制原则</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 掌握合并财务报表合并范围的确定</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（三）了解合并财务报表的编制程序</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（四）熟悉编制合并财务报表需要调整</w:t>
      </w:r>
      <w:proofErr w:type="gramStart"/>
      <w:r>
        <w:rPr>
          <w:rFonts w:ascii="Microsoft YaHei" w:eastAsia="Microsoft YaHei" w:hAnsi="Microsoft YaHei" w:hint="eastAsia"/>
          <w:color w:val="333333"/>
        </w:rPr>
        <w:t>抵销</w:t>
      </w:r>
      <w:proofErr w:type="gramEnd"/>
      <w:r>
        <w:rPr>
          <w:rFonts w:ascii="Microsoft YaHei" w:eastAsia="Microsoft YaHei" w:hAnsi="Microsoft YaHei" w:hint="eastAsia"/>
          <w:color w:val="333333"/>
        </w:rPr>
        <w:t>的项目</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二、长期股权投资与所有者权益的合并处理（同</w:t>
      </w:r>
      <w:proofErr w:type="gramStart"/>
      <w:r>
        <w:rPr>
          <w:rFonts w:ascii="Microsoft YaHei" w:eastAsia="Microsoft YaHei" w:hAnsi="Microsoft YaHei" w:hint="eastAsia"/>
          <w:color w:val="333333"/>
        </w:rPr>
        <w:t>一控制</w:t>
      </w:r>
      <w:proofErr w:type="gramEnd"/>
      <w:r>
        <w:rPr>
          <w:rFonts w:ascii="Microsoft YaHei" w:eastAsia="Microsoft YaHei" w:hAnsi="Microsoft YaHei" w:hint="eastAsia"/>
          <w:color w:val="333333"/>
        </w:rPr>
        <w:t>下）</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（一）熟悉同</w:t>
      </w:r>
      <w:proofErr w:type="gramStart"/>
      <w:r>
        <w:rPr>
          <w:rFonts w:ascii="Microsoft YaHei" w:eastAsia="Microsoft YaHei" w:hAnsi="Microsoft YaHei" w:hint="eastAsia"/>
          <w:color w:val="333333"/>
        </w:rPr>
        <w:t>一控制</w:t>
      </w:r>
      <w:proofErr w:type="gramEnd"/>
      <w:r>
        <w:rPr>
          <w:rFonts w:ascii="Microsoft YaHei" w:eastAsia="Microsoft YaHei" w:hAnsi="Microsoft YaHei" w:hint="eastAsia"/>
          <w:color w:val="333333"/>
        </w:rPr>
        <w:t>下取得子公司</w:t>
      </w:r>
      <w:proofErr w:type="gramStart"/>
      <w:r>
        <w:rPr>
          <w:rFonts w:ascii="Microsoft YaHei" w:eastAsia="Microsoft YaHei" w:hAnsi="Microsoft YaHei" w:hint="eastAsia"/>
          <w:color w:val="333333"/>
        </w:rPr>
        <w:t>合并日合并</w:t>
      </w:r>
      <w:proofErr w:type="gramEnd"/>
      <w:r>
        <w:rPr>
          <w:rFonts w:ascii="Microsoft YaHei" w:eastAsia="Microsoft YaHei" w:hAnsi="Microsoft YaHei" w:hint="eastAsia"/>
          <w:color w:val="333333"/>
        </w:rPr>
        <w:t>财务报表的编制</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（二）掌握直接投资及同</w:t>
      </w:r>
      <w:proofErr w:type="gramStart"/>
      <w:r>
        <w:rPr>
          <w:rFonts w:ascii="Microsoft YaHei" w:eastAsia="Microsoft YaHei" w:hAnsi="Microsoft YaHei" w:hint="eastAsia"/>
          <w:color w:val="333333"/>
        </w:rPr>
        <w:t>一控制</w:t>
      </w:r>
      <w:proofErr w:type="gramEnd"/>
      <w:r>
        <w:rPr>
          <w:rFonts w:ascii="Microsoft YaHei" w:eastAsia="Microsoft YaHei" w:hAnsi="Microsoft YaHei" w:hint="eastAsia"/>
          <w:color w:val="333333"/>
        </w:rPr>
        <w:t>下取得子公司合并日后合并财务报表的编制</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三、长期股权投资与所有者权益的合并处理（非同</w:t>
      </w:r>
      <w:proofErr w:type="gramStart"/>
      <w:r>
        <w:rPr>
          <w:rFonts w:ascii="Microsoft YaHei" w:eastAsia="Microsoft YaHei" w:hAnsi="Microsoft YaHei" w:hint="eastAsia"/>
          <w:color w:val="333333"/>
        </w:rPr>
        <w:t>一控制</w:t>
      </w:r>
      <w:proofErr w:type="gramEnd"/>
      <w:r>
        <w:rPr>
          <w:rFonts w:ascii="Microsoft YaHei" w:eastAsia="Microsoft YaHei" w:hAnsi="Microsoft YaHei" w:hint="eastAsia"/>
          <w:color w:val="333333"/>
        </w:rPr>
        <w:t>下）</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（一）熟悉非同</w:t>
      </w:r>
      <w:proofErr w:type="gramStart"/>
      <w:r>
        <w:rPr>
          <w:rFonts w:ascii="Microsoft YaHei" w:eastAsia="Microsoft YaHei" w:hAnsi="Microsoft YaHei" w:hint="eastAsia"/>
          <w:color w:val="333333"/>
        </w:rPr>
        <w:t>一控制</w:t>
      </w:r>
      <w:proofErr w:type="gramEnd"/>
      <w:r>
        <w:rPr>
          <w:rFonts w:ascii="Microsoft YaHei" w:eastAsia="Microsoft YaHei" w:hAnsi="Microsoft YaHei" w:hint="eastAsia"/>
          <w:color w:val="333333"/>
        </w:rPr>
        <w:t>下取得子公司购并日合并财务报表的编制</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（二）掌握非同</w:t>
      </w:r>
      <w:proofErr w:type="gramStart"/>
      <w:r>
        <w:rPr>
          <w:rFonts w:ascii="Microsoft YaHei" w:eastAsia="Microsoft YaHei" w:hAnsi="Microsoft YaHei" w:hint="eastAsia"/>
          <w:color w:val="333333"/>
        </w:rPr>
        <w:t>一控制</w:t>
      </w:r>
      <w:proofErr w:type="gramEnd"/>
      <w:r>
        <w:rPr>
          <w:rFonts w:ascii="Microsoft YaHei" w:eastAsia="Microsoft YaHei" w:hAnsi="Microsoft YaHei" w:hint="eastAsia"/>
          <w:color w:val="333333"/>
        </w:rPr>
        <w:t>下取得子公司购并日后合并财务报表的编制</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四、内部商品交易的合并处理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（一）熟悉内部销售收入和内部销售成本的</w:t>
      </w:r>
      <w:proofErr w:type="gramStart"/>
      <w:r>
        <w:rPr>
          <w:rFonts w:ascii="Microsoft YaHei" w:eastAsia="Microsoft YaHei" w:hAnsi="Microsoft YaHei" w:hint="eastAsia"/>
          <w:color w:val="333333"/>
        </w:rPr>
        <w:t>抵销</w:t>
      </w:r>
      <w:proofErr w:type="gramEnd"/>
      <w:r>
        <w:rPr>
          <w:rFonts w:ascii="Microsoft YaHei" w:eastAsia="Microsoft YaHei" w:hAnsi="Microsoft YaHei" w:hint="eastAsia"/>
          <w:color w:val="333333"/>
        </w:rPr>
        <w:t>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（二）掌握连续编制合并财务报表时内部销售商品的合并处理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（三）了解存货跌价准备的合并处理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五、内部债权债务的合并处理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（一）熟悉内部应收应付款项及其坏账准备的合并处理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（二）掌握连续编制合并财务报表时内部应收应付款项及其坏账准备的合并处理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六、内部固定资产交易的合并处理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（一）熟悉内部固定资产交易当期的合并的处理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（二）掌握内部交易固定资产取得后至处置前期间的合并处理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七、内部无形资产交易的合并处理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（一）熟悉内部无形资产交易当期的合并的处理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（二）掌握内部交易无形资产持有期间的合并处理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（三）了解内部无形资产交易摊销完毕的期间的合并处理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八、所得税会计相关的合并处理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（一）掌握内部应收款项相关所得税会计的合并</w:t>
      </w:r>
      <w:proofErr w:type="gramStart"/>
      <w:r>
        <w:rPr>
          <w:rFonts w:ascii="Microsoft YaHei" w:eastAsia="Microsoft YaHei" w:hAnsi="Microsoft YaHei" w:hint="eastAsia"/>
          <w:color w:val="333333"/>
        </w:rPr>
        <w:t>抵销</w:t>
      </w:r>
      <w:proofErr w:type="gramEnd"/>
      <w:r>
        <w:rPr>
          <w:rFonts w:ascii="Microsoft YaHei" w:eastAsia="Microsoft YaHei" w:hAnsi="Microsoft YaHei" w:hint="eastAsia"/>
          <w:color w:val="333333"/>
        </w:rPr>
        <w:t>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（二）掌握内部交易存货相关所得税会计的合并</w:t>
      </w:r>
      <w:proofErr w:type="gramStart"/>
      <w:r>
        <w:rPr>
          <w:rFonts w:ascii="Microsoft YaHei" w:eastAsia="Microsoft YaHei" w:hAnsi="Microsoft YaHei" w:hint="eastAsia"/>
          <w:color w:val="333333"/>
        </w:rPr>
        <w:t>抵销</w:t>
      </w:r>
      <w:proofErr w:type="gramEnd"/>
      <w:r>
        <w:rPr>
          <w:rFonts w:ascii="Microsoft YaHei" w:eastAsia="Microsoft YaHei" w:hAnsi="Microsoft YaHei" w:hint="eastAsia"/>
          <w:color w:val="333333"/>
        </w:rPr>
        <w:t>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（三）掌握内部固定资产等相关所得税会计的合并</w:t>
      </w:r>
      <w:proofErr w:type="gramStart"/>
      <w:r>
        <w:rPr>
          <w:rFonts w:ascii="Microsoft YaHei" w:eastAsia="Microsoft YaHei" w:hAnsi="Microsoft YaHei" w:hint="eastAsia"/>
          <w:color w:val="333333"/>
        </w:rPr>
        <w:t>抵销</w:t>
      </w:r>
      <w:proofErr w:type="gramEnd"/>
      <w:r>
        <w:rPr>
          <w:rFonts w:ascii="Microsoft YaHei" w:eastAsia="Microsoft YaHei" w:hAnsi="Microsoft YaHei" w:hint="eastAsia"/>
          <w:color w:val="333333"/>
        </w:rPr>
        <w:t>处理</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Style w:val="a4"/>
          <w:rFonts w:ascii="Microsoft YaHei" w:eastAsia="Microsoft YaHei" w:hAnsi="Microsoft YaHei" w:hint="eastAsia"/>
          <w:color w:val="333333"/>
        </w:rPr>
        <w:t>附录：</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本书涉及的主要法规</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1．企业会计准则——基本准则</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2．企业会计准则——具体准则</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3．企业会计准则——应用指南</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4．企业会计准则解释第1号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lastRenderedPageBreak/>
        <w:t>5．企业会计准则解释第2号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6．企业会计准则解释第3号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7．企业会计准则解释第4号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8．企业会计准则解释第5号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9．企业会计准则解释第6号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10．企业会计准则解释第7号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11. 企业会计准则解释第8号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12. 企业会计准则解释第9号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13. 企业会计准则解释第10号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14. 企业会计准则解释第11号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15. 企业会计准则解释第12号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16.商品期货套期业务会计处理暂行规定（财会[2015]18号）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17.规范“三去一降一补”有关业务的会计处理规定（财会[2016]17号）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18.</w:t>
      </w:r>
      <w:hyperlink r:id="rId6" w:tgtFrame="_blank" w:tooltip="增值税会计处理规定" w:history="1">
        <w:r>
          <w:rPr>
            <w:rStyle w:val="a5"/>
            <w:rFonts w:ascii="Microsoft YaHei" w:eastAsia="Microsoft YaHei" w:hAnsi="Microsoft YaHei" w:hint="eastAsia"/>
            <w:color w:val="0070C3"/>
            <w:u w:val="none"/>
          </w:rPr>
          <w:t>增值税会计处理规定</w:t>
        </w:r>
      </w:hyperlink>
      <w:r>
        <w:rPr>
          <w:rFonts w:ascii="Microsoft YaHei" w:eastAsia="Microsoft YaHei" w:hAnsi="Microsoft YaHei" w:hint="eastAsia"/>
          <w:color w:val="333333"/>
        </w:rPr>
        <w:t>（财会[2016]22号）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19. 企业破产清算有关会计处理规定（财会[2016]23号）</w:t>
      </w:r>
    </w:p>
    <w:p w:rsidR="001E447D" w:rsidRDefault="001E447D" w:rsidP="001E447D">
      <w:pPr>
        <w:pStyle w:val="a3"/>
        <w:spacing w:before="0" w:beforeAutospacing="0" w:after="240" w:afterAutospacing="0"/>
        <w:ind w:firstLine="480"/>
        <w:rPr>
          <w:rFonts w:ascii="Microsoft YaHei" w:eastAsia="Microsoft YaHei" w:hAnsi="Microsoft YaHei" w:hint="eastAsia"/>
          <w:color w:val="333333"/>
        </w:rPr>
      </w:pPr>
      <w:r>
        <w:rPr>
          <w:rFonts w:ascii="Microsoft YaHei" w:eastAsia="Microsoft YaHei" w:hAnsi="Microsoft YaHei" w:hint="eastAsia"/>
          <w:color w:val="333333"/>
        </w:rPr>
        <w:t>20. 关于修订印发一般企业财务报表格式的通知（财会[2017]30号）</w:t>
      </w:r>
    </w:p>
    <w:p w:rsidR="00443DE2" w:rsidRPr="001E447D" w:rsidRDefault="00443DE2" w:rsidP="001E447D"/>
    <w:sectPr w:rsidR="00443DE2" w:rsidRPr="001E44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2F"/>
    <w:rsid w:val="00053CE0"/>
    <w:rsid w:val="001501A4"/>
    <w:rsid w:val="001E447D"/>
    <w:rsid w:val="00443DE2"/>
    <w:rsid w:val="00BB631E"/>
    <w:rsid w:val="00FC1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E2F"/>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FC1E2F"/>
    <w:rPr>
      <w:b/>
      <w:bCs/>
    </w:rPr>
  </w:style>
  <w:style w:type="character" w:styleId="a5">
    <w:name w:val="Hyperlink"/>
    <w:basedOn w:val="a0"/>
    <w:uiPriority w:val="99"/>
    <w:semiHidden/>
    <w:unhideWhenUsed/>
    <w:rsid w:val="00FC1E2F"/>
    <w:rPr>
      <w:color w:val="0000FF"/>
      <w:u w:val="single"/>
    </w:rPr>
  </w:style>
  <w:style w:type="character" w:customStyle="1" w:styleId="apple-converted-space">
    <w:name w:val="apple-converted-space"/>
    <w:basedOn w:val="a0"/>
    <w:rsid w:val="00150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E2F"/>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FC1E2F"/>
    <w:rPr>
      <w:b/>
      <w:bCs/>
    </w:rPr>
  </w:style>
  <w:style w:type="character" w:styleId="a5">
    <w:name w:val="Hyperlink"/>
    <w:basedOn w:val="a0"/>
    <w:uiPriority w:val="99"/>
    <w:semiHidden/>
    <w:unhideWhenUsed/>
    <w:rsid w:val="00FC1E2F"/>
    <w:rPr>
      <w:color w:val="0000FF"/>
      <w:u w:val="single"/>
    </w:rPr>
  </w:style>
  <w:style w:type="character" w:customStyle="1" w:styleId="apple-converted-space">
    <w:name w:val="apple-converted-space"/>
    <w:basedOn w:val="a0"/>
    <w:rsid w:val="0015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07221">
      <w:bodyDiv w:val="1"/>
      <w:marLeft w:val="0"/>
      <w:marRight w:val="0"/>
      <w:marTop w:val="0"/>
      <w:marBottom w:val="0"/>
      <w:divBdr>
        <w:top w:val="none" w:sz="0" w:space="0" w:color="auto"/>
        <w:left w:val="none" w:sz="0" w:space="0" w:color="auto"/>
        <w:bottom w:val="none" w:sz="0" w:space="0" w:color="auto"/>
        <w:right w:val="none" w:sz="0" w:space="0" w:color="auto"/>
      </w:divBdr>
    </w:div>
    <w:div w:id="1461995193">
      <w:bodyDiv w:val="1"/>
      <w:marLeft w:val="0"/>
      <w:marRight w:val="0"/>
      <w:marTop w:val="0"/>
      <w:marBottom w:val="0"/>
      <w:divBdr>
        <w:top w:val="none" w:sz="0" w:space="0" w:color="auto"/>
        <w:left w:val="none" w:sz="0" w:space="0" w:color="auto"/>
        <w:bottom w:val="none" w:sz="0" w:space="0" w:color="auto"/>
        <w:right w:val="none" w:sz="0" w:space="0" w:color="auto"/>
      </w:divBdr>
    </w:div>
    <w:div w:id="15589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kuaijishiwu/" TargetMode="External"/><Relationship Id="rId5" Type="http://schemas.openxmlformats.org/officeDocument/2006/relationships/hyperlink" Target="http://www.chinaacc.com/kuaijishiw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1058</Words>
  <Characters>6032</Characters>
  <Application>Microsoft Office Word</Application>
  <DocSecurity>0</DocSecurity>
  <Lines>50</Lines>
  <Paragraphs>14</Paragraphs>
  <ScaleCrop>false</ScaleCrop>
  <Company>微软中国</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2018-07-05T01:08:00Z</dcterms:created>
  <dcterms:modified xsi:type="dcterms:W3CDTF">2018-07-05T01:08:00Z</dcterms:modified>
</cp:coreProperties>
</file>