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A4" w:rsidRDefault="001501A4" w:rsidP="001501A4">
      <w:pPr>
        <w:pStyle w:val="a3"/>
        <w:spacing w:before="0" w:beforeAutospacing="0" w:after="240" w:afterAutospacing="0"/>
        <w:ind w:firstLine="480"/>
        <w:jc w:val="center"/>
        <w:rPr>
          <w:rFonts w:ascii="Microsoft YaHei" w:eastAsia="Microsoft YaHei" w:hAnsi="Microsoft YaHei"/>
          <w:color w:val="333333"/>
        </w:rPr>
      </w:pPr>
      <w:r>
        <w:rPr>
          <w:rStyle w:val="a4"/>
          <w:rFonts w:ascii="Microsoft YaHei" w:eastAsia="Microsoft YaHei" w:hAnsi="Microsoft YaHei" w:hint="eastAsia"/>
          <w:color w:val="333333"/>
        </w:rPr>
        <w:t>《税法（Ⅱ）》考试大纲</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本科目考试内容涉及的政策法规以2017年度（含）以前为主，加2018年度3月31日前的必要税收政策调整。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第一章 企业所得税</w:t>
      </w:r>
      <w:bookmarkStart w:id="0" w:name="_GoBack"/>
      <w:bookmarkEnd w:id="0"/>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（一）熟悉企业所得税的计税原理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（二）了解各国企业所得税的一般性做法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（三）熟悉我国企业所得税的制度演变</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（四）了解我国企业所得税的作用</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二、纳税义务人、征税对象与税率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（一）熟悉纳税人的主要类型</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（二）熟悉企业所得税的征税对象</w:t>
      </w:r>
      <w:proofErr w:type="gramStart"/>
      <w:r>
        <w:rPr>
          <w:rFonts w:ascii="Microsoft YaHei" w:eastAsia="Microsoft YaHei" w:hAnsi="Microsoft YaHei" w:hint="eastAsia"/>
          <w:color w:val="333333"/>
        </w:rPr>
        <w:t>及所得</w:t>
      </w:r>
      <w:proofErr w:type="gramEnd"/>
      <w:r>
        <w:rPr>
          <w:rFonts w:ascii="Microsoft YaHei" w:eastAsia="Microsoft YaHei" w:hAnsi="Microsoft YaHei" w:hint="eastAsia"/>
          <w:color w:val="333333"/>
        </w:rPr>
        <w:t>来源地的确定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（三）掌握基本税率的规定，低税率的适用范围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三、应纳税所得额的计算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（一）掌握应税收入总额的确定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（二）掌握不征税收入、免税收入的内容和企业接收政府和股东划入资产的税务处理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（三）熟悉企业接收政府划入资产的企业所得税处理，企业接收股东划入资产的企业所得税处理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（四）掌握扣除项目的原则、范围和标准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（五）掌握不得扣除的项目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（六）掌握亏损弥补的规定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（一）掌握固定资产的税务处理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（二）熟悉生物资产的税务处理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（三）掌握无形资产的税务处理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（四）掌握长期待摊费用的税务处理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（五）熟悉存货的税务处理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（六）掌握投资资产的税务处理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（七）掌握税法规定与会计规定差异的处理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五、资产损失税前扣除的所得税处理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（一）掌握资产损失扣除的政策</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（二）掌握资产损失税前扣除管理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六、企业重组的所得税处理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（一）掌握企业重组一般性税务处理的方法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（二）掌握企业重组特殊性税务处理的方法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（三）掌握股权、资产划转的所得税处理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七、房地产开发经营业务的所得税处理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（一）掌握房地产开发经营业务收入的税务处理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（二）掌握房地产开发经营业务成本、费用扣除的税务处理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（三）掌握房地产开发经营业务计税成本的核算方法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（四）掌握房地产开发经营业务特定事项的税务处理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八、税收优惠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（一）掌握免税收入的规定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（二）掌握减征与免征优惠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（三）掌握高新企业的优惠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w:t>
      </w:r>
      <w:hyperlink r:id="rId5" w:tgtFrame="_blank" w:tooltip="小型微利企业" w:history="1">
        <w:r>
          <w:rPr>
            <w:rStyle w:val="a5"/>
            <w:rFonts w:ascii="Microsoft YaHei" w:eastAsia="Microsoft YaHei" w:hAnsi="Microsoft YaHei" w:hint="eastAsia"/>
            <w:color w:val="0070C3"/>
            <w:u w:val="none"/>
          </w:rPr>
          <w:t>小型微利企业</w:t>
        </w:r>
      </w:hyperlink>
      <w:r>
        <w:rPr>
          <w:rFonts w:ascii="Microsoft YaHei" w:eastAsia="Microsoft YaHei" w:hAnsi="Microsoft YaHei" w:hint="eastAsia"/>
          <w:color w:val="333333"/>
        </w:rPr>
        <w:t>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（五）掌握加计扣除的优惠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（六）掌握创投企业的优惠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（七）掌握加速折旧的优惠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w:t>
      </w:r>
      <w:proofErr w:type="gramStart"/>
      <w:r>
        <w:rPr>
          <w:rFonts w:ascii="Microsoft YaHei" w:eastAsia="Microsoft YaHei" w:hAnsi="Microsoft YaHei" w:hint="eastAsia"/>
          <w:color w:val="333333"/>
        </w:rPr>
        <w:t>掌握减计收入</w:t>
      </w:r>
      <w:proofErr w:type="gramEnd"/>
      <w:r>
        <w:rPr>
          <w:rFonts w:ascii="Microsoft YaHei" w:eastAsia="Microsoft YaHei" w:hAnsi="Microsoft YaHei" w:hint="eastAsia"/>
          <w:color w:val="333333"/>
        </w:rPr>
        <w:t>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（九）掌握税额抵免的优惠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（十）熟悉民族自治地方的优惠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（十一）掌握非居民企业的优惠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（十二）掌握促进节能服务产业发展的优惠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（十三）掌握其他有关行业的优惠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（一）掌握居民企业应纳税额的计算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（二）掌握境外所得抵扣税额的计算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（三）掌握居民企业核定征收应纳税额的计算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（四）掌握非居民企业应纳税额的计算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（五）掌握非居民企业所得税核定征收办法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（六）掌握外国企业常驻代表机构税收管理及计算方法。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（七）掌握企业转让上市公司限售股有关所得税问题</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十、源泉扣缴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（一）熟悉扣缴义务人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（二）掌握扣缴方法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（三）掌握税源管理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（五）掌握股权转让所得的管理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（六）熟悉后续管理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（七）熟悉法律责任</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（八）熟悉非居民承包工程作业和提供劳务的税务管理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（九）熟悉非居民企业派遣人员在中国境内提供劳务征收企业所得税的规定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（十）熟悉非居民企业从事国际运输业务税收管理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（十一）掌握非居民企业间接转让财产企业所得税处理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（十二）熟悉香港市场投资者通过沪港通投资上海证券交易所上市A股的所得税的规定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十一、特别纳税调整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（一）熟悉特别纳税调整税务处理内容与管理内容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（二）熟悉关联申报管理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（三）掌握同期资料管理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（四）掌握转让定价方法管理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（五）熟悉转让定价调查及调整管理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（六）掌握预约定价安排管理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（七）熟悉成本分摊协议管理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（八）熟悉受控外国企业管理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（九）掌握资本弱化管理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（十）掌握一般反避税管理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（十一）熟悉相应调整及国际磋商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（十二）熟悉法律责任</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（十三）熟悉特别纳税调整监控管理规定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十二、征收管理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（二）熟悉纳税期限</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（三）掌握纳税申报</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（四）掌握跨地区经营汇总纳税企业所得税征收管理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（五）熟悉合伙企业所得税的征收管理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（六）掌握境外注册中资控股企业所得税管理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（七）熟悉企业所得税年度纳税申报口径问题</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（八）熟悉非居民企业所得税管理若干问题</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（九）掌握企业政策性搬迁所得税管理办法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（十）熟悉居民企业报告境外投资和所得信息的管理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（十一）熟悉企业所得税年度纳税申报主要报表的填列方法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第二章 个人所得税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（一）了解个人所得税的特点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（二）了解个人所得税的立法原则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二、征税对象</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（一）熟悉工资、薪金所得的内容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（二）熟悉个体工商户、个人独资企业和合伙企业的生产、经营所得的内容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（三）熟悉对企事业单位的承包、承租经营所得的内容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（四）熟悉劳务报酬所得的内容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（五）熟悉稿酬所得的内容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（六）熟悉特许权使用费所得的内容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（七）熟悉利息、股息、红利所得的内容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（八）熟悉财产租赁所得的内容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（九）熟悉财产转让所得的内容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（十）熟悉偶然所得的内容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（十一）熟悉其他所得的内容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三、纳税人、税率与应纳税所得额的确定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（一）熟悉居民纳税人和非居民纳税人的判定标准，掌握居民纳税人和非居民纳税人的纳税义务范围，熟悉所得来源的确定，熟悉扣缴义务人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（二）掌握适用税率的具体规定，掌握稿酬所得减征、劳务报酬所得加成征税的规定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（三）掌握应纳税所得额的一般规定，掌握应纳税所得额的特殊规定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（一）掌握免税的项目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（二）熟悉减税的项目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（三）熟悉暂免征税的项目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（四）熟悉纳税人享受个人所得税优惠政策时的审批原则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（一）掌握工资、薪金所得的计税方法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（二）掌握个体工商户、个人独资企业和合伙企业的生产、经营所得的计税方法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（三）掌握对企事业单位承包、承租经营所得的计税方法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（四）掌握劳务报酬所得的计税方法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（五）掌握稿酬所得的计税方法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（六）掌握特许权使用费所得的计税方法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（七）掌握利息、股息、红利所得的计税方法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（八）掌握财产租赁所得的计税方法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（九）掌握财产转让所得的计税方法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（十）掌握偶然所得的计税方法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（十一）掌握特殊情形下个人所得税的计税方法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（一）熟悉源泉扣缴的纳税申报方法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（二）掌握自行申报纳税的方法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（三）熟悉高收入者个人所得税的征收管理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（四）熟悉医疗机构个人所得税的征收管理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（五）熟悉个人所得税的征收管理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（六）熟悉股权转让所得征收个人所得税管理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（七）熟悉个人财产对外转移提交税收证明或完税证明的规定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第三章 国际税收</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（一）熟悉国际税收概念</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（二）熟悉国际税收原则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二、税收管辖权</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（一）掌握税收管辖权相关规定和分类方法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（二）掌握约束税收管辖权的国际惯例</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（三）掌握国际税收抵免制度</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三、国际税收协定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（一）熟悉国际税收协定概念</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（二）了解国际税收协定范本《OECD税收协定范本》、《UN 税收协定范本》</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（三）熟悉我国对签署税收协定典型条款介绍</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（四）熟悉国际税收协定管理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四、国际避税与反避税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（一）熟悉主要国际避税地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（二）掌握国际避税基本方法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（三）掌握国际反避税基本方法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五、国际税收合作</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（一）熟悉我国税收情报交换</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（二）熟悉美国海外账户税收遵从法案</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（三）熟悉OECD金融账户涉税信息自动交换标准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（四）熟悉税收征管互助</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（五）熟悉国际税收合作新形式——税基侵蚀与利润转移（BEPS）行动计划</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第四章 印花税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了解印花税的立法原则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二、征税范围、纳税人和税率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（一）掌握印花税的征税范围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各类经济合同；产权转移书据；营业账簿和权利；许可证照等。</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（二）掌握纳税人的具体规定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（三）掌握税率：比例税率；定额税率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掌握减免税的基本优惠和其他优惠政策。</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四、计税依据和应纳税额的计算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（一）掌握印花税的计税依据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（二）掌握应纳税额的计算方法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1．按比例税率计算应纳税额的方法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2．按定额税率计算应纳税额的方法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（一）熟悉印花税的缴纳方法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（二）熟悉外商投资企业和外国企业缴纳印花税的其他有关规定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（三）了解印花税的税票</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（四）熟悉纳税人缴纳印花税的责任和义务</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（五）掌握印花税违章处理的规定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（六）熟悉纳税环节和纳税地点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（七）掌握印花税的管理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第五章 房产税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了解房产税的立法原则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二、征税范围、纳税人和税率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（一）熟悉房产税的征税范围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（二）熟悉房产税的纳税人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（三）掌握房产税的税率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（一）掌握减免税的基本规定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（二）掌握减免税的特殊规定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四、计税依据和应纳税额的计算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（一）掌握房产税的计税依据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计税依据设计的指导思想；计税依据的形式。</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（一）掌握纳税义务发生的时间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（二）了解纳税的期限</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（三）了解纳税的申报</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（四）熟悉纳税的地点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第六章 车船税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了解车船税的立法原则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二、征税范围、纳税人和适用税额</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（一）熟悉车船税的征税范围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（二）熟悉车船税的纳税人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（三）了解车船税的税额</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（一）熟悉法定减免税的规定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（二）熟悉特定减免税的规定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四、应纳税额的计算与代收代缴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（一）掌握车船税应纳税额的计算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（二）了解保险机构的代收代缴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（三）了解交通运输部门海事管理机构代为征收船舶车船税规定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（一）熟悉车船税的纳税期限</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（二）熟悉车船税的纳税地点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（三）熟悉车船税的申报缴纳</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（四）熟悉其他管理规定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第七章 契税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了解契税的立法原则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二、征税范围、纳税人和税率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（一）掌握契税的征税范围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（二）熟悉契税的纳税人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（三）熟悉契税的税率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（一）熟悉契税减免的基本规定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（二）熟悉财政部规定的其他减免契税的项目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四、计税依据和应纳税额的计算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（一）掌握契税的计税依据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（二）掌握契税应纳税额的计算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（一）熟悉契税纳税义务发生的时间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（二）了解契税的纳税期限</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（三）熟悉契税的纳税地点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（四）了解契税的征收管理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第八章</w:t>
      </w:r>
      <w:r>
        <w:rPr>
          <w:rStyle w:val="apple-converted-space"/>
          <w:rFonts w:ascii="Microsoft YaHei" w:eastAsia="Microsoft YaHei" w:hAnsi="Microsoft YaHei" w:hint="eastAsia"/>
          <w:b/>
          <w:bCs/>
          <w:color w:val="333333"/>
        </w:rPr>
        <w:t> </w:t>
      </w:r>
      <w:hyperlink r:id="rId6" w:tgtFrame="_blank" w:tooltip="城镇土地使用税" w:history="1">
        <w:r>
          <w:rPr>
            <w:rStyle w:val="a5"/>
            <w:rFonts w:ascii="Microsoft YaHei" w:eastAsia="Microsoft YaHei" w:hAnsi="Microsoft YaHei" w:hint="eastAsia"/>
            <w:b/>
            <w:bCs/>
            <w:color w:val="0070C3"/>
            <w:u w:val="none"/>
          </w:rPr>
          <w:t>城镇土地使用税</w:t>
        </w:r>
      </w:hyperlink>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了解城镇土地使用税的立法原则</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二、征税范围、纳税人和适用税额</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（一）掌握城镇土地使用税的征税范围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（二）熟悉城镇土地使用税的纳税人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（三）了解城镇土地使用税的适用税额</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三、减免税优惠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（一）熟悉城镇土地使用税减免优惠的基本规定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（二）熟悉城镇土地使用税减免优惠的特殊规定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四、计税依据和应纳税额的计算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（一）掌握城镇土地使用税的计税依据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（二）掌握城镇土地使用税应纳税额的计算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（一）掌握城镇土地使用税纳税义务发生的时间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（二）了解城镇土地使用税的纳税期限</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（三）熟悉城镇土地使用税的纳税申报</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（四）熟悉城镇土地使用税的纳税地点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第九章 耕地占用税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了解耕地占用税的概念和特点。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二、纳税义务人和征税范围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（一）熟悉耕地占用税的纳税义务人</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（二）熟悉耕地占用税的征税范围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三、税收优惠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（一）熟悉免征耕地占用税的规定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（二）熟悉减征耕地占用税的规定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（一）掌握耕地占用税的计税依据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（二）掌握耕地占用税应纳税额的计算方法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（一）掌握耕地占用税纳税义务发生的时间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（二）熟悉耕地占用税的纳税地点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第十章 船舶吨税</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一、概述</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了解船舶吨税的概念及特点</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二、征税范围和税率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（一）熟悉船舶吨税的范围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（二）熟悉船舶吨税的税率</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三、税收优惠</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（一）熟悉直接优惠的规定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（二）熟悉延期优惠的规定</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四、应纳税额的计算</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（一）熟悉应纳税额的计税依据</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（二）掌握应纳税额的计算方法</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五、征收管理</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（一）熟悉船舶吨税纳税义务发生的时间</w:t>
      </w:r>
    </w:p>
    <w:p w:rsidR="001501A4" w:rsidRDefault="001501A4" w:rsidP="001501A4">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（二）熟悉船舶吨税的纳税申报和担保</w:t>
      </w:r>
    </w:p>
    <w:p w:rsidR="00443DE2" w:rsidRPr="001501A4" w:rsidRDefault="00443DE2" w:rsidP="001501A4"/>
    <w:sectPr w:rsidR="00443DE2" w:rsidRPr="00150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F"/>
    <w:rsid w:val="001501A4"/>
    <w:rsid w:val="00443DE2"/>
    <w:rsid w:val="00BB631E"/>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 w:type="character" w:customStyle="1" w:styleId="apple-converted-space">
    <w:name w:val="apple-converted-space"/>
    <w:basedOn w:val="a0"/>
    <w:rsid w:val="00150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 w:type="character" w:customStyle="1" w:styleId="apple-converted-space">
    <w:name w:val="apple-converted-space"/>
    <w:basedOn w:val="a0"/>
    <w:rsid w:val="0015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5193">
      <w:bodyDiv w:val="1"/>
      <w:marLeft w:val="0"/>
      <w:marRight w:val="0"/>
      <w:marTop w:val="0"/>
      <w:marBottom w:val="0"/>
      <w:divBdr>
        <w:top w:val="none" w:sz="0" w:space="0" w:color="auto"/>
        <w:left w:val="none" w:sz="0" w:space="0" w:color="auto"/>
        <w:bottom w:val="none" w:sz="0" w:space="0" w:color="auto"/>
        <w:right w:val="none" w:sz="0" w:space="0" w:color="auto"/>
      </w:divBdr>
    </w:div>
    <w:div w:id="15589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kuaijishiwu/" TargetMode="External"/><Relationship Id="rId5" Type="http://schemas.openxmlformats.org/officeDocument/2006/relationships/hyperlink" Target="http://www.chinaacc.com/kuaijishiwu/ghy/"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717</Words>
  <Characters>4090</Characters>
  <Application>Microsoft Office Word</Application>
  <DocSecurity>0</DocSecurity>
  <Lines>34</Lines>
  <Paragraphs>9</Paragraphs>
  <ScaleCrop>false</ScaleCrop>
  <Company>微软中国</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2018-07-05T01:07:00Z</dcterms:created>
  <dcterms:modified xsi:type="dcterms:W3CDTF">2018-07-05T01:07:00Z</dcterms:modified>
</cp:coreProperties>
</file>