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BF1" w:rsidRPr="00204305" w:rsidRDefault="00204305" w:rsidP="00204305">
      <w:r>
        <w:rPr>
          <w:rFonts w:ascii="Microsoft YaHei" w:eastAsia="Microsoft YaHei" w:hAnsi="Microsoft YaHei" w:hint="eastAsia"/>
          <w:color w:val="000000"/>
          <w:shd w:val="clear" w:color="auto" w:fill="FFFFFF"/>
        </w:rPr>
        <w:t>一、单项选择题(本类题共 24 小题，每小题 1.5 分，共 36 分。每小题备选答案中，只有一 个符合题意的正确答案。多选、错选、不选均不得分。请使用计算机鼠标在计算机答题界面 上点击试题答案备选项前的按钮“〇”作答。)</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1.下列法的形式中，效力等级最低的是(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 宪法</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 地方性法规</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 行政法规</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 法律</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【答案】B</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【解析】法律效力等级：宪法&gt;法律&gt;行政法规&gt;地方性法规&gt;同级地方政府规章。</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【知识点】法的形式和分类</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2.根据劳动合同法律制度的规定，下列关于劳务派遣用工形式的表述中，不正确的是(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A.被派遣劳动者在无工作期间，劳务派遣单位应当按照所在地人民政府规定的最低工资标准， 向其按月支付报酬</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B.劳务派遣单位可与被派遣劳动者订立 1 年期劳动合同</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C.用人单位不得设立劳务派遣单位向本单位或者所属单位派遣劳动者</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D.被派遣劳动者享有与用工单位的劳动者同工同酬的权利</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【答案】B</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【解析】劳务派遣单位应当与被派遣劳动者订立 2 年以上的固定期限劳动合同，按月支付劳 动报酬。</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【知识点】集体合同与劳务派遣</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3.根据增值税法律制度的规定，下列各项中，免征增值税的是(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lastRenderedPageBreak/>
        <w:t>A.单位销售自己使用过的小汽车</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B.企业销售自产的仪器设备</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C.外贸公司进口服装</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D.农业生产者销售自产的蔬菜</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【答案】D</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【解析】(1)选项 ABC：照章缴纳增值税;(2)选项 D：农业生产者销售的自产农产品，免 征增值税。</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【知识点】增值税税收优惠</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4.根据税收征收管理法律制度的规定，下列各项中，不属于纳税担保方式的是(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 保证</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 扣押</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 质押</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 抵押</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【答案】B</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【解析】纳税担保，是指经税务机关同意或确认，纳税人或其他自然人、法人、经济组织以</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“保证、抵押、质押”的方式，为纳税人应当缴纳的税款及滞纳金提供担保的行为，不包括 扣押方式。</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【知识点】责令提供纳税担保</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5.2010 年 4 月 1 日，张某到甲公司工作，2016 年 8 月 1 日，双方的劳动合同期满，甲公司 不再与张某续签，已知劳动合同终止前 12 个月，张某月平均工资 5000 元，甲公司所在地职 工月平均工资 4500 元，计算劳动合同终止后甲公司应向张某支付经济补偿的下列公式中， 正确的是(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lastRenderedPageBreak/>
        <w:t>A.4500*6=27000 元 B.4500*7=31500 元 C.5000*5.5=27500 元 D.5000*6.5=32500 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【答案】D</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【解析】张某在甲公司工作 6 年零 4 个月，工作年限应为 6.5 年;甲公司应当向张某支付的 经济补偿金=6.5×5000=325000(元)。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【知识点】劳动合同的解除和终止</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6.根据消费税法律制度的规定，下列各项中，不征收消费税的是(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A.酒厂用于交易会样品的自产白酒</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B.卷烟厂用于连续生产卷烟的自产烟丝</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C.日化厂用于职工奖励的自产高档化妆品</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D.地板厂用于本厂办公室装修的自产实木地板</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【答案】B</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【解析】纳税人自产自用的应税消费品，用于连续生产应税消费品的，不纳税(选项 B); 凡用于其他方面的，于移送使用时，照章缴纳消费税(选项 ACD)。</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【知识点】消费税征税范围</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7.根据支付结算法律制度的规定，关于预付卡使用的下列表述中，正确的是(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A.可在发卡机构签约的特约商户中使用</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B.可向银行账户转移卡内资金</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C.可用于提取现金</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D.可用于购买非本发卡机构发行的预付卡</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【答案】A</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【解析】选项 BCD：预付卡在发卡机构拓展、签约的特约商户中使用，不得用于或变相用</w:t>
      </w:r>
      <w:r>
        <w:rPr>
          <w:rFonts w:ascii="Microsoft YaHei" w:eastAsia="Microsoft YaHei" w:hAnsi="Microsoft YaHei" w:hint="eastAsia"/>
          <w:color w:val="000000"/>
          <w:shd w:val="clear" w:color="auto" w:fill="FFFFFF"/>
        </w:rPr>
        <w:lastRenderedPageBreak/>
        <w:t>于 提取现金，不得用于购买、交换非本发卡机构发行的预付卡、单一行业卡及其他商业预付卡 或向其充值，卡内资金不得向银行账户或向非本发卡机构开立的网络支付账户转移。</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【知识点】预付卡</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8.根据关税法律制度的规定，对原产于与我国签订含有关税优惠条款的区域性贸易协定的国 家或地区的进口货物征收关税时，适用的税率形式是(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A.最惠国税率</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B.普通税率</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C.特惠税率</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D.协定税率</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【答案】D</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【解析】(1)选项 A：最惠国税率适用于：①原产于与我国共同适用“最惠国条款”的世界 贸易组织成员国或地区的进口货物;②原产于与我国签订含有相互给予“最惠国待遇”的双 边贸易协定的国家或者地区的进口货物;③“原产于我国”的进口货物。(2)选项 B：普通 税率适用于原产于未与我国共同适用最惠国条款的世界贸易组织成员国或地区，未与我国订 有相互给予最惠国待遇、关税优惠条款贸易协定和特殊关税优惠条款贸易协定的国家或者地 区的进口货物，以及原产地不明的进口货物。(3)选项 C：对原产于与我国签订含有“特殊 关税优惠条款”的贸易协定的国家或地区的进口货物，按特惠税率征收关税。(4)选项 D： 对原产于与我国签订含有关税优惠条款的“区域性贸易协定”的国家或地区的进口货物，按 协定税率征收关税。</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【知识点】关税税率</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xml:space="preserve">9.根据税收征收管理法律制度的规定，除另有规定外，从事生产、经营的纳税人的账簿、记 账凭证、报表、完税凭证、发票、出口凭证以及其他有关涉税资料应当保存一定期限，该期 </w:t>
      </w:r>
      <w:r>
        <w:rPr>
          <w:rFonts w:ascii="Microsoft YaHei" w:eastAsia="Microsoft YaHei" w:hAnsi="Microsoft YaHei" w:hint="eastAsia"/>
          <w:color w:val="000000"/>
          <w:shd w:val="clear" w:color="auto" w:fill="FFFFFF"/>
        </w:rPr>
        <w:lastRenderedPageBreak/>
        <w:t>限为(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A.30 年 B.10 年 C.15 年 D.20 年</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【答案】B</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【解析】账簿、记账凭证、报表、完税凭证、发票、出口凭证以及其他有关涉税资料应当保 存 10 年;但是法律、行政法规另有规定的除外。</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【知识点】账簿和凭证管理</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10.根据企业所得税法律制度的规定，下列各项中，属于不征税收入的是(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A.接受捐赠收入 B.国债利息收入 C.销售货物收入 D.财政拨款</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【答案】D</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【解析】(1)选项 AC：属于应税收入;选项 B：属于免税收入;(3)选项 D：属于不征税收 入。</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【知识点】企业所得税不征税收入</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11.根据契税法律制度的规定，下列各项中，不征收契税的是(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A.张某受赠房屋</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B.王某与李某互换房屋并向李某补偿差价款 10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C.赵某抵押房屋</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D.夏某购置商品房</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【答案】C</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【解析】(1)选项 ABD：在我国境内“承受”(受让、购买、受赠、交换等)土地、房屋权 属转移的单位和个人，应照章缴纳契税;(2)选项 C：土地、房屋典当、继承、分拆(分割)、 “抵押”以及出租等行为，不属于契税的征税范围。</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【知识点】契税的征税范围</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xml:space="preserve">12.甲公司与乙公司签订买卖合同，向乙公司购买了一台设备，价款 8 万元，该买卖合同的 </w:t>
      </w:r>
      <w:r>
        <w:rPr>
          <w:rFonts w:ascii="Microsoft YaHei" w:eastAsia="Microsoft YaHei" w:hAnsi="Microsoft YaHei" w:hint="eastAsia"/>
          <w:color w:val="000000"/>
          <w:shd w:val="clear" w:color="auto" w:fill="FFFFFF"/>
        </w:rPr>
        <w:lastRenderedPageBreak/>
        <w:t>法律关系的主体是(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A.买卖合同</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B.设备</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C.8 万元价款</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D.甲公司与乙公司</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【答案】D</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【解析】能够参加法律关系的主体包括自然人、法人(甲公司和乙公司)、国家。</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【知识点】法律关系</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13.甲公司 2016 年拥有机动船舶 10 艘，每艘净吨位为 150 吨，非机动驳船 5 艘，每艘净吨 位为 80 吨，已知机动船舶适用年基准税额为每吨 3 元，计算甲公司当年应缴纳车船税税额 的下列算式中，正确的是(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A.(10×150+5×80)×3=5700 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B.10×150×3×50%+5×80×3=3450 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C.(10×150+5×80)×3×50%=2850 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D.10×150×3+5×80×3×50%=5100 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【答案】D</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【解析】(1)非机动驳船的车船税税额按照机动船舶税额的 50%计算;(2)甲公司当年应缴 纳车船税税额=10×150×3+5×80×3×50%=5100(元)。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【知识点】车船税应纳税额的计算</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14.根据消费税法律制度的规定，下列关于消费税纳税义务发生时间的表述中，不正确的是</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A.纳税人自产自用应税消费品的，为移送使用的当天</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lastRenderedPageBreak/>
        <w:t>B.纳税人进口应税消费品的，为</w:t>
      </w:r>
      <w:hyperlink r:id="rId5" w:tooltip="报关" w:history="1">
        <w:r>
          <w:rPr>
            <w:rStyle w:val="a3"/>
            <w:rFonts w:ascii="Microsoft YaHei" w:eastAsia="Microsoft YaHei" w:hAnsi="Microsoft YaHei" w:hint="eastAsia"/>
            <w:shd w:val="clear" w:color="auto" w:fill="FFFFFF"/>
          </w:rPr>
          <w:t>报关</w:t>
        </w:r>
      </w:hyperlink>
      <w:r>
        <w:rPr>
          <w:rFonts w:ascii="Microsoft YaHei" w:eastAsia="Microsoft YaHei" w:hAnsi="Microsoft YaHei" w:hint="eastAsia"/>
          <w:color w:val="000000"/>
          <w:shd w:val="clear" w:color="auto" w:fill="FFFFFF"/>
        </w:rPr>
        <w:t>进口的当天</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C.纳税人委托加工应税消费品的，为支付加工费的当天</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D.纳税人采取预收货款结算方式销售应税消费品的，为发生应税消费品的当天</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【答案】C</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【解析】纳税人委托加工应税消费品的，消费税纳税义务发生时间为纳税人提货的当天。</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【知识点】消费税纳税义务发生时间</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15.2016 年 6 月张某从本单位取得工资 4000 元，加班费 1000 元，季度奖金 2100 元，已知 工资，薪金所得减除费用标准为每月 3500 元，全月应纳税所得额不超过 1500 元的，适用税 率为 3%，全月应纳税所得额超过 1500 元至 4500 元的部分，适用税率为 10%，速算扣除数</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105。计算张某当月工资，薪金所得应缴纳个人所得税税额的下列算式中，正确的是(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A.(4000+1000+2100-3500)×10%-105=255 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B.(4000-3500)×3%=15 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C.(4000+1000+2100÷3-3500)×10%-105=115 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D.(4000+1000-3500)×3%=45 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【答案】A</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【解析】(1)纳税人取得除全年一次性奖金以外的其他各种名目的奖金，如半年奖、季度奖、加班奖、先进奖、考勤奖等，一般应将全部奖金与当月工资、薪金收入合并，计算缴纳个人</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所得税。(2)张某当月工资、薪金所得应缴纳个人所得税税额=(4000+1000+2100-3500)×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10%-105=255(元)。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【知识点】工资、薪金所得应纳个人所得税税额的计算</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16.根据支付结算法律制度的规定，关于个人银行结算账户管理的下列表述中，不正确的是</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lastRenderedPageBreak/>
        <w:t>(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A.银行可以通过Ⅱ类银行账户为存款人提供单笔无限额的存取现金服务</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B.银行可以通过Ⅲ类银行账户为存款人提供限定金额的消费和缴费支付服务</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C.银行可以通过Ⅰ类银行账户为存款人提供购买投资理财产品服务</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D.银行可以通过Ⅱ类银行账户为存款人提供购买投资理财产品服务</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【答案】A</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【解析】银行不得通过Ⅱ类户为存款人提供存取现金的业务。</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【知识点】各类具体银行结算账户的开立和使用</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17.根据消费税法律制度的规定，下列消费品中，实行从价定率和从量定额相结合的复合计 征办法征收消费税的是(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A.啤酒</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B.汽油</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C.卷烟</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D.高档手表</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【答案】C</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【解析】(1)选项 AB：从量定额计征消费税;(2)选项 C：卷烟、白酒实行从价定率和从量 定额相结合的复合计征办法征收消费税;(3)选项 D：从价定率计征消费税。</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【知识点】消费税计税办法</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18.根据土地增值税法律制度的规定，下列各项中，免征土地增值税的是( )。 A.由一方出地，另一方出资金，企业双方合作建房，建筑后转让的房地产</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B.因城市实施规划，国家建设的需要而搬迁，企业自行转让原房地产</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C.企业之间交换房地产</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lastRenderedPageBreak/>
        <w:t>D.企业以房地产抵债而发生权属转移的房地产</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【答案】B</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【解析】(1)选项 ACD：照章征收土地增值税;(2)选项 B：因国家建设需要依法征用、收 回的房地产，免征土地增值税;因城市实施规划、国家建设的需要而搬迁，由纳税人自行转 让原房地产的，比照本规定免征土地增值税。</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【知识点】土地增值税税收优惠</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19.根据社会保险法律制度的规定，参加工伤保险的职工因工死亡，其近亲属可以按照一定 标准从工伤保险基金领取一次性工亡补助金，该标准为(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A.上一年度全国城镇居民人均可支配收入的 5 倍</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B.上一年度全国城镇居民人均可支配收入的 10 倍</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C.上一年度全国城镇居民人均可支配收入的 15 倍</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D.上一年度全国城镇居民人均可支配收入的 20 倍</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【答案】D</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【解析】参加工伤保险的职工因工死亡，其近亲属可以领取一次性工亡补助金，标准为上一</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年度全国城镇居民人均可支配收入的 20 倍。</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【知识点】工伤保险</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20.根据税收征收管理法律制度的规定，税务机关做出的下列具体行政行为中，申请人不服， 应当先向复议机关申请行政复议，对行政复议决定不服的，可以再向人民法院提起行政诉讼 的是(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A.征收税款行为 B.税收保金行为 C.发票管理行为 D.行政处罚行为</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【答案】A</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【解析】(1)选项 A：属于征税行为，纳税人不服的，必须先申请行政复议，对行政复议决 定</w:t>
      </w:r>
      <w:r>
        <w:rPr>
          <w:rFonts w:ascii="Microsoft YaHei" w:eastAsia="Microsoft YaHei" w:hAnsi="Microsoft YaHei" w:hint="eastAsia"/>
          <w:color w:val="000000"/>
          <w:shd w:val="clear" w:color="auto" w:fill="FFFFFF"/>
        </w:rPr>
        <w:lastRenderedPageBreak/>
        <w:t>不服的，可以向人民法院提起行政诉讼;(2)选项 BCD：不属于征税行为，纳税人不服的， 可以申请行政复议，也可以直接向人民法院提起行政诉讼。</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【知识点】税务行政复议申请与受理</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21.甲公司厂房原值 500 万元，已提折旧 200 万元，已知房产原值减除比例为 30%，房产税 从价计征税率为 1.2%，计算甲公司年度应缴纳房产税税额的下列算式中，正确的是( )。 A.200×(1-30%)×1.2%=1.68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B.500×1.2%=6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C.(500-200)×(1-30%)×1.2%=2.52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D.500×(1-30%)×1.2%=4.2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【答案】D</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【解析】(1)从价计征房产税的，以房产原值一次减除 10%～30%后的余值为计税依据;(2) 甲公司年度应缴纳房产税税额=500×(1-30%)×1.2%=4.2(万元)。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【知识点】房产税应纳税额的计算</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22.根据支付结算法律制度的规定，关于银行本票使用的下列表述中，不正确的是( )。 A.银行本票的出票人在持票人提示见票时，必须承担付款的责任</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B.注明“现金”字样的银行本票可以用于支取现金</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C.银行本票只限于单位使用，个人不得使用</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D.收款人可以将银行本票背书转让给被背书人</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【答案】C</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【解析】选项 C：“单位和个人”在同一票据交换区域需要支付各种款项，均可以使用银行 本票。</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【知识点】银行本票</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lastRenderedPageBreak/>
        <w:t>23.个体工商户张某 2016 年度取得营业收入 200 万元，当年发生业务宣传费 25 万元，上年 度结转未扣除的业务宣传费 15 万元。已知业务宣传费不得超过当年营业收入 15%的部分， 准予扣除，个体工商户张某在计算当年个人所得税应纳税所得额时，允许扣除的业务宣传费 金额为(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A.30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B.25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C.40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D.15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【答案】A</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【解析】(1)个体工商户每一纳税年度发生的与其生产经营活动直接相关的广告费和业务宣 传费不超过当年销售(营业)收入 15%的部分，可以据实扣除;超过部分，准予在以后纳税 年度结转扣除;(2)200×15%=30(万元)&lt;25+15=40(万元)，按照限额扣除，即允许扣除 的业务招待费金额为 30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【知识点】个体工商户生产、经营所得的税前扣除项目</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24.根据营业税该征增值税试点相关规定，下列各项中，应按照“销售服务—建筑服务”税 目计缴增值税的是(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A.平整土地</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B.出售住宅</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C.出租办公楼</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D.转让土地使用权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【答案】A</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【解析】(1)选项 A：按照“销售服务—建筑服务”税目计缴增值税;(2)选项 B：按照“销 售</w:t>
      </w:r>
      <w:r>
        <w:rPr>
          <w:rFonts w:ascii="Microsoft YaHei" w:eastAsia="Microsoft YaHei" w:hAnsi="Microsoft YaHei" w:hint="eastAsia"/>
          <w:color w:val="000000"/>
          <w:shd w:val="clear" w:color="auto" w:fill="FFFFFF"/>
        </w:rPr>
        <w:lastRenderedPageBreak/>
        <w:t>不动产”税目计缴增值税;(3)选项 C：按照“销售服务—租赁服务”计缴增值税;(4) 选项 D：按照“销售无形资产”税目计缴增值税。</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【知识点】增值税征税范围</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二、多项选择题(本类题共 15 小题，每小题 2 分，共 30 分，每小题备选答案中，有二个或 二个以上符合题意的正确答案，多选，少选，错选，不选均不得分，请使用计算机鼠标在计 算机答题界面上点击试题答案备选项的按钮“□”作答。)</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1.根据劳动合同法律制度的规定，因下列情形解除劳动合同的，用人单位应向劳动者支付经 济补偿的有(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A.劳动者不能胜任工作，经过培训或者调整工作岗位，仍不能胜任工作的</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B.用人单位未按照劳动合同约定提供劳动保护或者劳动条件的</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C.劳动者同时与其他用人单位建立劳动关系，经用人单位提出，拒不改正的</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D.用人单位未及时足额支付劳动报酬的</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【答案】ABD</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【解析】选项 C：用人单位可以随时通知解除劳动合同，无需支付经济补偿。</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【知识点】劳动合同的解除和终止</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2.根据耕地占用税法律制度的规定，下列各项中，免征耕地占用税的有(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A.公立学校教学楼占用耕地 B.厂区内机动车道占用耕地 C.军事设施占用耕地 D.医院内职工住房占用耕地</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【答案】AC</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【解析】免征耕地占用税的项目包括：军事设施、学校、</w:t>
      </w:r>
      <w:hyperlink r:id="rId6" w:tooltip="幼儿" w:history="1">
        <w:r>
          <w:rPr>
            <w:rStyle w:val="a3"/>
            <w:rFonts w:ascii="Microsoft YaHei" w:eastAsia="Microsoft YaHei" w:hAnsi="Microsoft YaHei" w:hint="eastAsia"/>
            <w:shd w:val="clear" w:color="auto" w:fill="FFFFFF"/>
          </w:rPr>
          <w:t>幼儿</w:t>
        </w:r>
      </w:hyperlink>
      <w:r>
        <w:rPr>
          <w:rFonts w:ascii="Microsoft YaHei" w:eastAsia="Microsoft YaHei" w:hAnsi="Microsoft YaHei" w:hint="eastAsia"/>
          <w:color w:val="000000"/>
          <w:shd w:val="clear" w:color="auto" w:fill="FFFFFF"/>
        </w:rPr>
        <w:t>园、养老院和医院占用耕地。</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【知识点】耕地占用税税收优惠</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3.根据企业所得税法律制度的规定，下列选项中，属于长期待摊费用的有(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lastRenderedPageBreak/>
        <w:t>A.购入固定资产的支出</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B.固定资产的大修理 C.租入固定资产的改建支出 D.已足额提取折旧的固定资产的改建支出</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【答案】BCD</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【解析】在计算应纳税所得额时，企业发生的下列支出，作为长期待摊费用，按照规定摊销 的，准予扣除：</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(1)已足额提取折旧的固定资产的改建支出，按照固定资产预计尚可使用年限分期摊销。</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(2)租入固定资产的改建支出，按照合同约定的剩余租赁期限分期摊销。</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(3)固定资产的大修理支出，按照固定资产尚可使用年限分期摊销。</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【知识点】长期待摊费用的税务处理</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4.非物质财富可以成为法律关系的客体，下列各项中，属于非物质财富的有(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A.著作</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B.嘉奖表彰</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C.发明</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D.荣誉称号</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【答案】ABCD</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【解析】非物质财富包括：(1)知识产品：著作(选项 A)、发现、发明(选项 C)、设计;</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(2)道德产品：荣誉称号(选项 D)、嘉奖表彰(选项 B)。</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【知识点】法律关系</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5.根据支付结算法律制度的规定，下列各项中，属于票据行为的有(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A.背书 B.付款 C.承兑 D.出票</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【答案】ACD</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lastRenderedPageBreak/>
        <w:t>【解析】票据行为包括出票、背书、承兑和保证。</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【知识点】票据行为</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6.根据增值税法律制度的规定，纳税人销售贷物向购买方收取的下列款项中，属于价外费用 的有(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A.延期付款利息</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B.赔偿金</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C.手续费</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D.包装物租金</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【答案】ABCD</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【解析】销售货物时价外向买方收取的手续费、违约金、延期付款利息、赔偿金、包装费、 优质费等均属于价外费用，无论会计上如何核算，均应计入销售额。</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【知识点】增值税销售额的确定</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7.根据个人所得税法律制度的规定，下列各项中，免征个人所得税的有(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A.保险赔款</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B.国家发行的金融债券利息</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C.军人转业费</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D.劳动分红</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【答案】ABC</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【解析】(1)选项 ABC：均免征个人所得税;(2)选项 D：按“工资、薪金所得”项目计算 缴纳个人所得税。</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【知识点】个人所得税税收优惠</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8.根据劳动合同法律制度的规定，下列关于劳动报酬支付的表述中，正确的有( )。 A.对在</w:t>
      </w:r>
      <w:r>
        <w:rPr>
          <w:rFonts w:ascii="Microsoft YaHei" w:eastAsia="Microsoft YaHei" w:hAnsi="Microsoft YaHei" w:hint="eastAsia"/>
          <w:color w:val="000000"/>
          <w:shd w:val="clear" w:color="auto" w:fill="FFFFFF"/>
        </w:rPr>
        <w:lastRenderedPageBreak/>
        <w:t>国际劳动妇女节(工作日)照常工作的女职工，用人单位应支付加班工资 B.用人单位应当支付劳动者在法定休假日期间的工资 C.用人单位与劳动者约定的支付工资日期遇节假日的，应提前在最近的工作日支付 D.用人单位不得以有价</w:t>
      </w:r>
      <w:hyperlink r:id="rId7" w:tooltip="证券" w:history="1">
        <w:r>
          <w:rPr>
            <w:rStyle w:val="a3"/>
            <w:rFonts w:ascii="Microsoft YaHei" w:eastAsia="Microsoft YaHei" w:hAnsi="Microsoft YaHei" w:hint="eastAsia"/>
            <w:shd w:val="clear" w:color="auto" w:fill="FFFFFF"/>
          </w:rPr>
          <w:t>证券</w:t>
        </w:r>
      </w:hyperlink>
      <w:r>
        <w:rPr>
          <w:rFonts w:ascii="Microsoft YaHei" w:eastAsia="Microsoft YaHei" w:hAnsi="Microsoft YaHei" w:hint="eastAsia"/>
          <w:color w:val="000000"/>
          <w:shd w:val="clear" w:color="auto" w:fill="FFFFFF"/>
        </w:rPr>
        <w:t>替代货币支付工资</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【答案】BCD</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【解析】选项 A：在部分公民放假的节日期间(妇女节)，对参加社会活动或单位组织庆祝 活动和照常工作的职工，单位应支付“工资报酬”，但不支付“加班工资”。</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【知识点】劳动合同的主要内容</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9.根据土地使用税法律制度的规定。下列城市用地中，应缴纳城镇土地使用税的有(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A.民航机场场内道路用地</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B.商业企业经营用地</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C.火电厂厂区围墙内的用地</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D.市政街道公共用地</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【答案】ABC</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【解析】选项 ABC：属于城镇土地使用税的征税范围;选项 D：免征城镇土地使用税。</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【知识点】城镇土地使用税税收优惠</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10.根据劳动合同法律制度的规定，下列各项中，属于劳动合同必备条款的有(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A.社会保险</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B.劳动报酬</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C.服务期</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D.劳动合同期限</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【答案】ABD</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【解析】选项 C：服务期属于劳动合同约定条款。</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lastRenderedPageBreak/>
        <w:t>【知识点】劳动合同的主要内容</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11.甲公司职工高某因公司被依法宣告破产而失业。已知高某失业前，甲公司与高某已累计 缴纳失业保险满 4 年，失业后高某及时办理了失业登记，下列关于高某领取失业保险待遇的 表述中，正确的有( )。 A.高某在领取失业保险金期间，不参加职工基本医疗保险，亦不享受基本医疗保险待遇 B.高某领取失业保险金的标准，不得低于城市居民最低生活保障标准 C.高某领取失业保险金期限自办理失业登记之日起计算 D.高某领取失业保险金的期限最长为 12 个月</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【答案】BCD</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【解析】选项 A：失业人员在领取失业保险金期间，参加职工基本医疗保险，享受基本医疗</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保险待遇。</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【知识点】失业保险</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12.下列行政责任形式中，属于行政处罚的有(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A.撤职</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B.行政拘留</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C.没收非法财物</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D.开除</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【答案】BC</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【解析】选项 AD：属于行政处分。</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【知识点】法律责任</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13.根据印花税法律制度的规定，下列各项中，属于印花税纳税人的有(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A.立据人 B.各类电子应税凭证的签订人 C.立合同人</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lastRenderedPageBreak/>
        <w:t>D.立账簿人</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【答案】ABCD</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【解析】印花税的纳税人，是指在中国境内书立、领受、使用税法所列凭证的单位和个人， 主要包括：立合同人、立账簿人、立据人、各类电子应税凭证的签订人、领受人和使用人。</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【知识点】印花税纳税人</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14.根据企业登记制度改革相关规定，下列执照和证件中，属于“五证合一，一照一码”登 记制度改革范围的有(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A.安全生产许可证 B.组织机构代码证 C.税务登记证 D.工商营业执照</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【答案】BCD</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【解析】自 2016 年 10 月 1 日起，整合工商营业执照(选项 D)、组织机构代码证(选项 B)、 税务登记证(选项 C)、社会保险登记证和统计登记证，实现“五证合一、一照一码”。</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【知识点】税务登记管理</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15.根据发票管理法律制度的规定，纳税人临时使用发票，可有经办人持身份证明及相关身 份证明，直接向经营地税务机关申请代开发票，下列各项中可作为书面证明的有( )。 A.其他经营活动的书面证明</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B.接受服务的书面证明 C.提供服务的书面证明 D.购销商品的书面证明</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【答案】ABCD</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【解析】需要临时使用发票的单位和个人，可以凭购销商品(选项 D)、提供或者接受服务</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(选项 BC)以及从事其他经营活动的书面证明(选项 A)、经办人身份证明，直接向经营地 税务机关申请代开发票。</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【知识点】发票管理</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三、判断题(本类题共 10 小题，每小题 1 分，共 10 分。请判断每小题的表述是否正确，</w:t>
      </w:r>
      <w:r>
        <w:rPr>
          <w:rFonts w:ascii="Microsoft YaHei" w:eastAsia="Microsoft YaHei" w:hAnsi="Microsoft YaHei" w:hint="eastAsia"/>
          <w:color w:val="000000"/>
          <w:shd w:val="clear" w:color="auto" w:fill="FFFFFF"/>
        </w:rPr>
        <w:lastRenderedPageBreak/>
        <w:t>每 小题答题正确的得 1 分，答题错误的扣 0.5 分，不答题的不得分也不扣分，本类题最低得分 为零分，请使用计算机鼠标在计算机答题界面上点击试题答案备选项的按钮“〇”作答。)</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1.纳税人有骗税行为，由税务机关追缴其骗取的退税款并按照规定处以罚款，构成犯罪的依 法追究刑事责任。(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【知识点】征纳双方违反税收法律制度的法律责任</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2.税务行政复议决定自作出之日起发生法律效力。(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【解析】复议机关作出行政复议决定，应当制作行政复议决定书，并加盖印章。行政复议决 定书一经送达，即发生法律效力。</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【知识点】税务行政复议决定</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3.企业在年度中间终止经营活动的，应当自实际经营终止之日起 60 日内，向税务机关办理 当期企业所得税汇算清缴。(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【知识点】企业所得税征收管理</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4.对由于减免增值税、消费税而发生退税的，已征收的城市维护建设税不予退还。(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【解析】由于减免增值税、消费税而发生退税的，可同时退还已征收的城市维护建设税。</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【知识点】城市维护建设税税收优惠</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5.职工非因工负伤享受医疗期待遇的，公休，假日和法定节日不包括在病休期间。(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lastRenderedPageBreak/>
        <w:t>【解析】病休期间，公休、假日和法定节日包括在内。</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【知识点】基本医疗保险</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6.汇出银行向汇款人签发的汇款回单是银行将款项确已转入收款人账户的凭据。(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【解析】汇款回单只能作为汇出银行受理汇款的依据，不能作为该笔汇款已经转入收款人账 户的证明。</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【知识点】汇兑</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7.纳税人建造普通标准住宅出售，增值额超过扣除金额 20%的，应按全部增值额计算缴纳土 地增值税。(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【知识点】土地增值税税收优惠</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8.对县级以上地方各级人民政府工作部门的具体行政行为不服的，可以向该部门的本级人民 政府申请行政复议，也可以向上一级主管部门申请行政复议。(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【知识点】行政复议</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9.纳税人销售应税产品采用分期收款结算方式的，其资源税纳税义务发生时间，为销售合同 规定的收款日期的当天。(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【知识点】资源税纳税义务发生时间</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10.因确认股东资格纠纷引起的民事诉讼，由公司住所地人民法院管辖。(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【解析】因确认股东资格纠纷引起的民事诉讼，由公司住所地人民法院管辖。</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lastRenderedPageBreak/>
        <w:t>【知识点】民事诉讼</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四、不定项选择题(本类题共 12 小题，每小题 2 分，共 24 分。每小题备选答案中，有一个 或一个以上符合题意的正确答案。每小题全部选对得满分，少选得相应分值，多选、错选、 不选均不得分。请使用计算机鼠标在计算机答题界面上点击试题答案备选项前的按钮“□” 作答。)</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(一)甲公司于 2013 年 1 月 7 日成立，王某为法定代表人。2013 年 1 月 10 日，甲公司因办理日 常结算需要，在 P 银行开立了基本存款账户。2015 年 2 月 10 日，甲公司因资金需求，在 Q 银行借款 300 万元，开立了一般存款账户。2016 年 5 月 19 日，甲公司因被吊销营业执照而 撤销其基本存款账户。</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已知：甲公司只有上述两个银行结算账户。 要求：根据上述资料，不考虑其他因素，分别回答下列小题。</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1.甲公司在 P 银行开立基本存款账户应出具的证明文件是(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A.企业法人营业执照正本</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B.财政部门同意其开户的证明</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C.甲公司章程</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D.政府主管部门的批文</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【答案】A</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【解析】一般生产经营性单位申请开立基本存款账户的，需要提供营业执照正本、税务登记 证正本(提供了加载法人和其他组织统一社会信用代码营业执照的不必提供)、组织机构代 码证(如果有)、法定代表人身份证件以及法定代表人授权书、代办人员身份证件(如果委 托办理)。</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【知识点】各类具体银行结算账户的开立和使用</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lastRenderedPageBreak/>
        <w:t>2.甲公司在 P 银行预留的签章可以是(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A.甲公司发票专用章加王某的签名</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B.甲公司财务专用章加王某的个人名章</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C.甲公司合同专用章加王某的个人名章</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D.甲公司单位公章加王某的签名</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【答案】BD</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【解析】存款人为单位的，其预留签章为该单位的“公章或财务专用章”加其法定代表人(单 位负责人)或其授权的代理人的签名“或者”盖章。</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【知识点】银行结算账户的开立、变更和撤销</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3.甲公司在 Q 银行开立的一般存款账户可以办理的业务是(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A.缴存现金 5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B.归还借款 100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C.转存借款 300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D.支取现金 10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【答案】ABC</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【解析】(1)一般存款账户用于办理存款人借款转存、借款归还和其他结算的资金收付;(2) 一般存款账户可以办理现金缴存，但不得办理现金支取。</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【知识点】各类具体银行结算账户的开立和使用</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4.关于甲公司撤销其基本存款账户的下列表述中，符合法律规定的是(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A.应清偿在 Q 银行的债务，并将在 Q 银行的账户资金转入基本存款账户</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B.应与 P 银行核对该基本存款账户存款余额</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C.应先撤销在 Q 银行开立的一般存款账户</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lastRenderedPageBreak/>
        <w:t>D.应将各种重要空白票据、结算凭证和开户许可证文件交回银行</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【答案】ABCD</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【解析】(1)选项 AC：撤销银行结算账户时，应先撤销一般存款账户、专用存款账户、临 时存款账户，将账户资金转入基本存款账户后，方可办理基本存款账户的撤销;(2)选项 BD：存款人撤销银行结算账户，必须与开户银行核对银行结算账户存款余额，交回各种重要 空白票据及结算凭证和开户许可证，银行核对无误后方可办理销户手续。</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【知识点】银行结算账户的开立、变更和撤销</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(二) 甲公司为居民企业，主要从事不锈钢用品的生产和销售业务，2016 年有关经营情况如下：</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(1)产品销售收入 800 万元，销售边角料收入 40 万元，国债利息收入 5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(2)以产品抵偿债务，该批产品不含增值税售价 60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(3)实发合理工资、薪金总额 100 万元，发生职工福利费支出 15 万元、职工教育经费支出</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1.5 万元，拨缴工会经费 2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(4)支付法院诉讼费 3 万元，税收滞纳金 4 万元，合同违约金 5 万元，银行逾期利息 6 万 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(5)因管理不善一批原材料被盗，原材料成本 10 万元，增值税进项税额 17 万元，取得保 险公司赔款 6 万元，原材料损失已经税务机关核准。 已知，职工福利费支出，职工教育经费支出，拨缴的工会经费分别不超过工资、薪金总额的</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14%、2.5%和 2%的部分，准予扣除。 要求。 根据上述材料，不考虑其他因素，分析回答下列小题。</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1.甲公司的下列收益中，在计算 2016 年度企业所得税应纳税所得额时，应计入收入总额</w:t>
      </w:r>
      <w:r>
        <w:rPr>
          <w:rFonts w:ascii="Microsoft YaHei" w:eastAsia="Microsoft YaHei" w:hAnsi="Microsoft YaHei" w:hint="eastAsia"/>
          <w:color w:val="000000"/>
          <w:shd w:val="clear" w:color="auto" w:fill="FFFFFF"/>
        </w:rPr>
        <w:lastRenderedPageBreak/>
        <w:t>的</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A.销售边角料收入 40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B.产品销售收入 800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C.国债利息收入 5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D.抵债产品销售 60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【答案】ABCD</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【解析】企业以货币形式和非货币形式从各种来源取得的收入，为收入总额。包括：(1)销 售货物收入(选项 AB，选项 D 为视同销售货物取得的收入);(2)提供劳务收入;(3)转让 财产收入;(4)股息、红利等权益性投资收益;(5)利息收入(选项 C);(6)租金收入;(7) 特许权使用费收入;(8)接受捐赠收入;(9)其他收入。</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【知识点】企业所得税收入总额</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2.甲公司的下列支出中，在计算 2016 年度企业所得税应纳税所得额时，准予全额扣除的是</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A.工资、薪金 100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B.工会经费 2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C.职工福利费 15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D.职工教育经费 1.5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【答案】ABD</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【解析】企业发生的职工福利费、工会经费、职工教育经费按标准扣除，未超过标准的按实 际数扣除，超过标准的只能按标准扣除。</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lastRenderedPageBreak/>
        <w:t>(1)企业发生的职工福利费支出，不超过工资、薪金总额 14%的部分准予扣除。</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(2)企业拨缴的工会经费，不超过工资、薪金总额 2%的部分准予扣除。</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(3)除国务院财政、税务主管部门另有规定外，企业发生的职工教育经费支出，不超过工 资、薪金总额 2.5%的部分，准予扣除;超过部分，准予结转以后纳税年度扣除。 职工福利费扣除限额=100×14%=14(万元)，实际发生额为 15 万元，不能据实扣除，只能扣 除 14 万元;工会经费扣除限额=100×2%=2(万元)，实际发生额为 2 万元，未超过扣除限额， 所以可以据实扣除;职工教育经费扣除限额=100×2.5%=2.5(万元)，实际发生额 1.5 万元， 未超过扣除限额，可以据实扣除。</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【知识点】企业所得税税前扣除项目扣除标准</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3.甲公司的下列支出中，在计算 2016 年度企业所得税应纳税所得额时，不得扣除的是(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A.法院诉讼费 3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B.银行逾期利息 6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C.税收滞纳金 4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D.合同违约金 5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【答案】C</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【解析】(1)选项 C 属于行政性质的罚款，不得税前扣除;(2)选项 A 属于企业的合理支出， 可以在税前扣除;(3)选项 BD 属于经济性质罚款，可以在税前扣除。</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【知识点】企业所得税不得在税前扣除的项目</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4.甲公司在计算 2016 年度企业所得税应缴纳税所得额时，准予扣除原材料损失金额的下列 算式中，正确的是(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A.10-6=4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B.10+1.7=11.7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lastRenderedPageBreak/>
        <w:t>C.10-1.7-6=2.3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D.10+1.7-6=5.7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【答案】D</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(1)企业因存货盘亏、毁损、报废等原因不得从销项税额中抵扣的进项税额，应视同企业财产损失，准予与存货损失一起在企业所得税前按规定扣除;(2)企业发生的损失，减除责任人赔偿和保险赔款后的余额，依照规定在税前扣除，因此，选项 D 正确。</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【知识点】企业所得税税前扣除项目</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(三)甲煤矿为增值税一般纳税人，主要从事煤炭开采和销售业务，2016 年 10 月有关经营情况如下：</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(1)购进井下用原木一批，取得增值税专用发票注明税额 26000 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(2)购进井下挖煤机一台，取得增值税专用发票注明税额 93500 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(3)接受洗煤设备维修劳务，取得增值税专用发票注明税额 6800 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(4)销售自产原煤 2000 吨，职工食堂领用自产原煤 50 吨，职工宿舍供暖领用自产原煤 100 吨，向乙煤矿无偿赠送自产原煤 10 吨，原煤不含增值税计价 500/吨。 已知，原煤增值税税率为 17%，资源税适用税率为 8%</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要求： 根据上述资料，不考虑其他因素，分析回答下列小题。</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1.计算甲煤矿当月允许抵扣增值税进项税额的下列算式中，正确的是(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A.26000+6800=32800 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B.26000+93500+6800=126300 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C.93500+6800=100300 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D.26000+93500=119500 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【答案】B</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lastRenderedPageBreak/>
        <w:t>【解析】甲煤矿当月允许抵扣增值税进项税额=26000+93500+6800=126300(元)。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【知识点】当期准予抵扣的进项税额</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2.甲煤矿发生的下列业务中，应计算增值税销项税额的是(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A.销售自产原煤 2000 吨</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B.向乙煤矿无偿赠送自产原煤 10 吨</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C.职工食堂领用自产原煤 50 吨</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D.职工宿舍供暖领用自产原煤 100 吨</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【答案】ABCD</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【解析】(1)选项 A：自产产品用于销售的，应计缴增值税税额;(2)选项 B：自产产品用 于无偿赠送，视同销售计缴增值税;(3)选项 CD：自产产品用于集体福利，视同销售计缴 增值税。</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【知识点】增值税征税范围</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3.计算甲煤矿当月应缴纳增值税税额的下列算式中，正确的是(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A.(50+100+10)×500×17%-32800=-19200 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B.(2000+100)×500×17%-100300=78200 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C.(2000+50+100+10)×500×17%-126300=57300 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D.(2000+50+10)×500×17%-119500=55600 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【答案】C</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【解析】甲煤矿当月应缴纳增值税税额=(2000+50+100+10)×500×17%-126300=57300(元)。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【知识点】增值税应纳税额的计算</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4.计算甲煤矿当月应缴纳资源税税额的下列算式中，正确的是(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lastRenderedPageBreak/>
        <w:t>A.(2000+50+10)×500×8%=82400 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B.(2000+50+100)×500×8%=86000 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C.(2000+100+10)×500×8%=84400 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D.(2000+50+100+10)×500×8%=86400 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【答案】D</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【解析】(1)纳税人开采或者生产应税产品，自用于连续生产应税产品以外的其他方面的， 视同销售，缴纳资源税;(2)甲煤矿当月应缴纳资源税税额=(2000+50+100+10)×500×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8%=86400(元)。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【知识点】资源税征税范围</w:t>
      </w:r>
      <w:bookmarkStart w:id="0" w:name="_GoBack"/>
      <w:bookmarkEnd w:id="0"/>
    </w:p>
    <w:sectPr w:rsidR="00874BF1" w:rsidRPr="0020430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269"/>
    <w:rsid w:val="00204305"/>
    <w:rsid w:val="002E5269"/>
    <w:rsid w:val="00874B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E526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E52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angxiao.cn/zq/"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angxiao.cn/youer/" TargetMode="External"/><Relationship Id="rId5" Type="http://schemas.openxmlformats.org/officeDocument/2006/relationships/hyperlink" Target="http://www.wangxiao.cn/bg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2152</Words>
  <Characters>12267</Characters>
  <Application>Microsoft Office Word</Application>
  <DocSecurity>0</DocSecurity>
  <Lines>102</Lines>
  <Paragraphs>28</Paragraphs>
  <ScaleCrop>false</ScaleCrop>
  <Company>微软中国</Company>
  <LinksUpToDate>false</LinksUpToDate>
  <CharactersWithSpaces>14391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2018-07-02T07:20:00Z</dcterms:created>
  <dcterms:modified xsi:type="dcterms:W3CDTF">2018-07-02T07:20:00Z</dcterms:modified>
</cp:coreProperties>
</file>